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C6" w:rsidRDefault="00BD09C6">
      <w:pPr>
        <w:spacing w:line="276" w:lineRule="auto"/>
        <w:rPr>
          <w:lang w:val="ru-RU"/>
        </w:rPr>
      </w:pPr>
    </w:p>
    <w:p w:rsidR="003A3AF6" w:rsidRDefault="00A5550B">
      <w:pPr>
        <w:spacing w:line="276" w:lineRule="auto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7pt;margin-top:350.25pt;width:509.55pt;height:338.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A6rQIAAKo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" filled="f" stroked="f">
            <v:textbox inset="0,0,0,0">
              <w:txbxContent>
                <w:p w:rsidR="00067A1C" w:rsidRPr="000D296E" w:rsidRDefault="00067A1C" w:rsidP="00C97B3E">
                  <w:pPr>
                    <w:pStyle w:val="aa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Отчет</w:t>
                  </w:r>
                  <w:r w:rsidRPr="000D296E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о</w:t>
                  </w:r>
                  <w:r w:rsidRPr="000D296E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Ресурсной</w:t>
                  </w:r>
                  <w:r w:rsidRPr="000D296E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Базе Столбцовский лесхоз</w:t>
                  </w:r>
                </w:p>
                <w:p w:rsidR="00067A1C" w:rsidRPr="000D296E" w:rsidRDefault="00067A1C" w:rsidP="00ED692D">
                  <w:pPr>
                    <w:pStyle w:val="aa"/>
                    <w:rPr>
                      <w:color w:val="8AB059"/>
                      <w:sz w:val="36"/>
                      <w:szCs w:val="36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36D4B">
        <w:br w:type="page"/>
      </w:r>
      <w:r>
        <w:rPr>
          <w:noProof/>
          <w:lang w:val="ru-RU" w:eastAsia="ru-RU"/>
        </w:rPr>
        <w:lastRenderedPageBreak/>
        <w:pict>
          <v:shape id="Text Box 4" o:spid="_x0000_s1027" type="#_x0000_t202" style="position:absolute;margin-left:76.5pt;margin-top:309.75pt;width:441pt;height:450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" filled="f" stroked="f">
            <v:textbox inset="0,0,0,0">
              <w:txbxContent>
                <w:p w:rsidR="00067A1C" w:rsidRPr="00175C92" w:rsidRDefault="00067A1C" w:rsidP="000D296E">
                  <w:pPr>
                    <w:rPr>
                      <w:i/>
                      <w:lang w:val="ru-RU"/>
                    </w:rPr>
                  </w:pPr>
                  <w:r>
                    <w:rPr>
                      <w:rFonts w:ascii="Georgia" w:eastAsiaTheme="majorEastAsia" w:hAnsi="Georgia" w:cstheme="majorBidi"/>
                      <w:noProof/>
                      <w:color w:val="3D946D"/>
                      <w:spacing w:val="5"/>
                      <w:kern w:val="28"/>
                      <w:sz w:val="40"/>
                      <w:szCs w:val="40"/>
                      <w:lang w:val="ru-RU" w:eastAsia="ru-RU"/>
                    </w:rPr>
                    <w:drawing>
                      <wp:inline distT="0" distB="0" distL="0" distR="0">
                        <wp:extent cx="5600700" cy="5707295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5707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A3AF6">
        <w:br w:type="page"/>
      </w:r>
    </w:p>
    <w:p w:rsidR="0083069A" w:rsidRDefault="0083069A" w:rsidP="00C604DF"/>
    <w:sdt>
      <w:sdtPr>
        <w:rPr>
          <w:rFonts w:asciiTheme="minorHAnsi" w:eastAsiaTheme="minorHAnsi" w:hAnsiTheme="minorHAnsi" w:cstheme="minorBidi"/>
          <w:bCs w:val="0"/>
          <w:color w:val="auto"/>
          <w:sz w:val="20"/>
          <w:szCs w:val="20"/>
          <w:lang w:val="en-GB"/>
        </w:rPr>
        <w:id w:val="-73107667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5D488C" w:rsidRPr="000D296E" w:rsidRDefault="000D296E">
          <w:pPr>
            <w:pStyle w:val="ac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:rsidR="007A1B38" w:rsidRDefault="008679B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r>
            <w:fldChar w:fldCharType="begin"/>
          </w:r>
          <w:r w:rsidR="005D488C">
            <w:instrText xml:space="preserve"> TOC \o "1-3" \h \z \u </w:instrText>
          </w:r>
          <w:r>
            <w:fldChar w:fldCharType="separate"/>
          </w:r>
          <w:hyperlink w:anchor="_Toc450721926" w:history="1">
            <w:r w:rsidR="007A1B38" w:rsidRPr="00623D01">
              <w:rPr>
                <w:rStyle w:val="ad"/>
              </w:rPr>
              <w:t>1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Обзор</w:t>
            </w:r>
            <w:r w:rsidR="007A1B3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27" w:history="1">
            <w:r w:rsidR="007A1B38" w:rsidRPr="00623D01">
              <w:rPr>
                <w:rStyle w:val="ad"/>
              </w:rPr>
              <w:t>2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Описание Ресурсной Базы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_Toc450721927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2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28" w:history="1">
            <w:r w:rsidR="007A1B38" w:rsidRPr="00623D01">
              <w:rPr>
                <w:rStyle w:val="ad"/>
                <w:lang w:val="ru-RU"/>
              </w:rPr>
              <w:t>2.1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Общее описание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_Toc450721928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2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29" w:history="1">
            <w:r w:rsidR="007A1B38" w:rsidRPr="00623D01">
              <w:rPr>
                <w:rStyle w:val="ad"/>
                <w:lang w:val="ru-RU"/>
              </w:rPr>
              <w:t>2.2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Предпринятые действия для продвижения сертификации среди поставщиков сырья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_Toc450721929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5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30" w:history="1">
            <w:r w:rsidR="007A1B38" w:rsidRPr="00623D01">
              <w:rPr>
                <w:rStyle w:val="ad"/>
                <w:lang w:val="ru-RU"/>
              </w:rPr>
              <w:t>2.3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Программа определения доли древесины, полученной от рубок главного пользования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_Toc450721930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5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31" w:history="1">
            <w:r w:rsidR="007A1B38" w:rsidRPr="00623D01">
              <w:rPr>
                <w:rStyle w:val="ad"/>
                <w:lang w:val="ru-RU"/>
              </w:rPr>
              <w:t>2.4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Диаграмма потоков входящего сырья с указанием тип сырья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_Toc450721931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5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32" w:history="1">
            <w:r w:rsidR="007A1B38" w:rsidRPr="00623D01">
              <w:rPr>
                <w:rStyle w:val="ad"/>
                <w:lang w:val="ru-RU"/>
              </w:rPr>
              <w:t>2.5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Количественное определение ресурсной базы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_Toc450721932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6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33" w:history="1">
            <w:r w:rsidR="007A1B38" w:rsidRPr="00623D01">
              <w:rPr>
                <w:rStyle w:val="ad"/>
              </w:rPr>
              <w:t>Ресурсная база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_Toc450721933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6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34" w:history="1">
            <w:r w:rsidR="007A1B38" w:rsidRPr="00623D01">
              <w:rPr>
                <w:rStyle w:val="ad"/>
                <w:lang w:val="ru-RU"/>
              </w:rPr>
              <w:t>Сырье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_Toc450721934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7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35" w:history="1">
            <w:r w:rsidR="007A1B38" w:rsidRPr="00623D01">
              <w:rPr>
                <w:rStyle w:val="ad"/>
                <w:lang w:val="ru-RU"/>
              </w:rPr>
              <w:t xml:space="preserve">Подразделите по </w:t>
            </w:r>
            <w:r w:rsidR="007A1B38" w:rsidRPr="00623D01">
              <w:rPr>
                <w:rStyle w:val="ad"/>
              </w:rPr>
              <w:t>SBP</w:t>
            </w:r>
            <w:r w:rsidR="007A1B38" w:rsidRPr="00623D01">
              <w:rPr>
                <w:rStyle w:val="ad"/>
                <w:lang w:val="ru-RU"/>
              </w:rPr>
              <w:t>-утверждённой схеме лесоуправления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_Toc450721935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b w:val="0"/>
                <w:bCs/>
                <w:webHidden/>
                <w:lang w:val="ru-RU"/>
              </w:rPr>
              <w:t>Ошибка! Закладка не определена.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36" w:history="1">
            <w:r w:rsidR="007A1B38" w:rsidRPr="00623D01">
              <w:rPr>
                <w:rStyle w:val="ad"/>
              </w:rPr>
              <w:t>3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Оценка Ресурсной Базы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_Toc450721936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8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37" w:history="1">
            <w:r w:rsidR="007A1B38" w:rsidRPr="00623D01">
              <w:rPr>
                <w:rStyle w:val="ad"/>
              </w:rPr>
              <w:t>4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Оценка ресурсной базы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_Toc450721937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9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38" w:history="1">
            <w:r w:rsidR="007A1B38" w:rsidRPr="00623D01">
              <w:rPr>
                <w:rStyle w:val="ad"/>
              </w:rPr>
              <w:t>4.1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Область оценки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_Toc450721938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9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39" w:history="1">
            <w:r w:rsidR="007A1B38" w:rsidRPr="00623D01">
              <w:rPr>
                <w:rStyle w:val="ad"/>
              </w:rPr>
              <w:t>4.2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Обоснование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_Toc450721939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9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40" w:history="1">
            <w:r w:rsidR="007A1B38" w:rsidRPr="00623D01">
              <w:rPr>
                <w:rStyle w:val="ad"/>
              </w:rPr>
              <w:t>4.3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Результаты оценки рисков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_Toc450721940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9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41" w:history="1">
            <w:r w:rsidR="007A1B38" w:rsidRPr="00623D01">
              <w:rPr>
                <w:rStyle w:val="ad"/>
              </w:rPr>
              <w:t>4.4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Результаты Программы Проверки Поставщиков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_Toc450721941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9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42" w:history="1">
            <w:r w:rsidR="007A1B38" w:rsidRPr="00623D01">
              <w:rPr>
                <w:rStyle w:val="ad"/>
              </w:rPr>
              <w:t>4.5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Выводы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_Toc450721942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9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43" w:history="1">
            <w:r w:rsidR="007A1B38" w:rsidRPr="00623D01">
              <w:rPr>
                <w:rStyle w:val="ad"/>
              </w:rPr>
              <w:t>5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Процесс Оценки Ресурсной Базы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_Toc450721943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10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44" w:history="1">
            <w:r w:rsidR="007A1B38" w:rsidRPr="00623D01">
              <w:rPr>
                <w:rStyle w:val="ad"/>
              </w:rPr>
              <w:t>6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Консультации заинтересованных сторон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_Toc450721944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11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45" w:history="1">
            <w:r w:rsidR="007A1B38" w:rsidRPr="00623D01">
              <w:rPr>
                <w:rStyle w:val="ad"/>
                <w:lang w:val="ru-RU"/>
              </w:rPr>
              <w:t>6.1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Ответ на комментарии заинтересованных сторон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_Toc450721945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11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46" w:history="1">
            <w:r w:rsidR="007A1B38" w:rsidRPr="00623D01">
              <w:rPr>
                <w:rStyle w:val="ad"/>
              </w:rPr>
              <w:t>7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Обзор</w:t>
            </w:r>
            <w:r w:rsidR="007A1B38" w:rsidRPr="00623D01">
              <w:rPr>
                <w:rStyle w:val="ad"/>
                <w:lang w:val="en-US"/>
              </w:rPr>
              <w:t xml:space="preserve"> </w:t>
            </w:r>
            <w:r w:rsidR="007A1B38" w:rsidRPr="00623D01">
              <w:rPr>
                <w:rStyle w:val="ad"/>
                <w:lang w:val="ru-RU"/>
              </w:rPr>
              <w:t>первоначальной</w:t>
            </w:r>
            <w:r w:rsidR="007A1B38" w:rsidRPr="00623D01">
              <w:rPr>
                <w:rStyle w:val="ad"/>
                <w:lang w:val="en-US"/>
              </w:rPr>
              <w:t xml:space="preserve"> </w:t>
            </w:r>
            <w:r w:rsidR="007A1B38" w:rsidRPr="00623D01">
              <w:rPr>
                <w:rStyle w:val="ad"/>
                <w:lang w:val="ru-RU"/>
              </w:rPr>
              <w:t>оценки</w:t>
            </w:r>
            <w:r w:rsidR="007A1B38" w:rsidRPr="00623D01">
              <w:rPr>
                <w:rStyle w:val="ad"/>
                <w:lang w:val="en-US"/>
              </w:rPr>
              <w:t xml:space="preserve"> </w:t>
            </w:r>
            <w:r w:rsidR="007A1B38" w:rsidRPr="00623D01">
              <w:rPr>
                <w:rStyle w:val="ad"/>
                <w:lang w:val="ru-RU"/>
              </w:rPr>
              <w:t>рисков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_Toc450721946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12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47" w:history="1">
            <w:r w:rsidR="007A1B38" w:rsidRPr="00623D01">
              <w:rPr>
                <w:rStyle w:val="ad"/>
              </w:rPr>
              <w:t>8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Программа Проверки Поставщиков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_Toc450721947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13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48" w:history="1">
            <w:r w:rsidR="007A1B38" w:rsidRPr="00623D01">
              <w:rPr>
                <w:rStyle w:val="ad"/>
              </w:rPr>
              <w:t>8.1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Описание Программы Проверки Поставщиков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_Toc450721948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13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49" w:history="1">
            <w:r w:rsidR="007A1B38" w:rsidRPr="00623D01">
              <w:rPr>
                <w:rStyle w:val="ad"/>
              </w:rPr>
              <w:t>8.2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Посещение площадок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_Toc450721949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13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50" w:history="1">
            <w:r w:rsidR="007A1B38" w:rsidRPr="00623D01">
              <w:rPr>
                <w:rStyle w:val="ad"/>
              </w:rPr>
              <w:t>8.3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Выводы Программы Проверки Поставщиков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_Toc450721950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13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51" w:history="1">
            <w:r w:rsidR="007A1B38" w:rsidRPr="00623D01">
              <w:rPr>
                <w:rStyle w:val="ad"/>
                <w:lang w:val="ru-RU"/>
              </w:rPr>
              <w:t>9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Меры по снижению уровня риска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_Toc450721951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14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52" w:history="1">
            <w:r w:rsidR="007A1B38" w:rsidRPr="00623D01">
              <w:rPr>
                <w:rStyle w:val="ad"/>
                <w:lang w:val="ru-RU"/>
              </w:rPr>
              <w:t>9.1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Меры по снижению уровня риска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_Toc450721952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14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53" w:history="1">
            <w:r w:rsidR="007A1B38" w:rsidRPr="00623D01">
              <w:rPr>
                <w:rStyle w:val="ad"/>
              </w:rPr>
              <w:t>9.2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Мониторинг и результаты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_Toc450721953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14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54" w:history="1">
            <w:r w:rsidR="007A1B38" w:rsidRPr="00623D01">
              <w:rPr>
                <w:rStyle w:val="ad"/>
              </w:rPr>
              <w:t>10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Детальные результаты по индикаторам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_Toc450721954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15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55" w:history="1">
            <w:r w:rsidR="007A1B38" w:rsidRPr="00623D01">
              <w:rPr>
                <w:rStyle w:val="ad"/>
              </w:rPr>
              <w:t>11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Рецензия отчета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_Toc450721955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16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56" w:history="1">
            <w:r w:rsidR="007A1B38" w:rsidRPr="00623D01">
              <w:rPr>
                <w:rStyle w:val="ad"/>
              </w:rPr>
              <w:t>11.1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Экспертная оценка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_Toc450721956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16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57" w:history="1">
            <w:r w:rsidR="007A1B38" w:rsidRPr="00623D01">
              <w:rPr>
                <w:rStyle w:val="ad"/>
              </w:rPr>
              <w:t>11.2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Общественная и дополнительная оценка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_Toc450721957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18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58" w:history="1">
            <w:r w:rsidR="007A1B38" w:rsidRPr="00623D01">
              <w:rPr>
                <w:rStyle w:val="ad"/>
              </w:rPr>
              <w:t>12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Утверждение отчета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_Toc450721958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19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11"/>
            <w:rPr>
              <w:rFonts w:eastAsiaTheme="minorEastAsia"/>
              <w:b w:val="0"/>
              <w:sz w:val="22"/>
              <w:szCs w:val="22"/>
              <w:lang w:val="ru-RU" w:eastAsia="ru-RU"/>
            </w:rPr>
          </w:pPr>
          <w:hyperlink w:anchor="_Toc450721959" w:history="1">
            <w:r w:rsidR="007A1B38" w:rsidRPr="00623D01">
              <w:rPr>
                <w:rStyle w:val="ad"/>
              </w:rPr>
              <w:t>13</w:t>
            </w:r>
            <w:r w:rsidR="007A1B38">
              <w:rPr>
                <w:rFonts w:eastAsiaTheme="minorEastAsia"/>
                <w:b w:val="0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Обновления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_Toc450721959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20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60" w:history="1">
            <w:r w:rsidR="007A1B38" w:rsidRPr="00623D01">
              <w:rPr>
                <w:rStyle w:val="ad"/>
                <w:lang w:val="ru-RU"/>
              </w:rPr>
              <w:t>13.1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Значительные изменения в ресурсной базе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_Toc450721960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20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61" w:history="1">
            <w:r w:rsidR="007A1B38" w:rsidRPr="00623D01">
              <w:rPr>
                <w:rStyle w:val="ad"/>
                <w:lang w:val="ru-RU"/>
              </w:rPr>
              <w:t>13.2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Эффективность предыдущих мер по снижению уровня риска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_Toc450721961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20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62" w:history="1">
            <w:r w:rsidR="007A1B38" w:rsidRPr="00623D01">
              <w:rPr>
                <w:rStyle w:val="ad"/>
                <w:lang w:val="ru-RU"/>
              </w:rPr>
              <w:t>13.3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Новые уровни риска и меры по их снижению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_Toc450721962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20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63" w:history="1">
            <w:r w:rsidR="007A1B38" w:rsidRPr="00623D01">
              <w:rPr>
                <w:rStyle w:val="ad"/>
                <w:lang w:val="ru-RU"/>
              </w:rPr>
              <w:t>13.4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Актуальные данные по сырью за последние 12 месяцев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_Toc450721963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20</w:t>
            </w:r>
            <w:r w:rsidR="008679BB">
              <w:rPr>
                <w:webHidden/>
              </w:rPr>
              <w:fldChar w:fldCharType="end"/>
            </w:r>
          </w:hyperlink>
        </w:p>
        <w:p w:rsidR="007A1B38" w:rsidRDefault="00A5550B">
          <w:pPr>
            <w:pStyle w:val="21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50721964" w:history="1">
            <w:r w:rsidR="007A1B38" w:rsidRPr="00623D01">
              <w:rPr>
                <w:rStyle w:val="ad"/>
                <w:lang w:val="ru-RU"/>
              </w:rPr>
              <w:t>13.5</w:t>
            </w:r>
            <w:r w:rsidR="007A1B38">
              <w:rPr>
                <w:rFonts w:eastAsiaTheme="minorEastAsia"/>
                <w:sz w:val="22"/>
                <w:szCs w:val="22"/>
                <w:lang w:val="ru-RU" w:eastAsia="ru-RU"/>
              </w:rPr>
              <w:tab/>
            </w:r>
            <w:r w:rsidR="007A1B38" w:rsidRPr="00623D01">
              <w:rPr>
                <w:rStyle w:val="ad"/>
                <w:lang w:val="ru-RU"/>
              </w:rPr>
              <w:t>Ожидаемые данные по сырью за следующие 12 месяцев</w:t>
            </w:r>
            <w:r w:rsidR="007A1B38">
              <w:rPr>
                <w:webHidden/>
              </w:rPr>
              <w:tab/>
            </w:r>
            <w:r w:rsidR="008679BB">
              <w:rPr>
                <w:webHidden/>
              </w:rPr>
              <w:fldChar w:fldCharType="begin"/>
            </w:r>
            <w:r w:rsidR="007A1B38">
              <w:rPr>
                <w:webHidden/>
              </w:rPr>
              <w:instrText xml:space="preserve"> PAGEREF _Toc450721964 \h </w:instrText>
            </w:r>
            <w:r w:rsidR="008679BB">
              <w:rPr>
                <w:webHidden/>
              </w:rPr>
            </w:r>
            <w:r w:rsidR="008679BB">
              <w:rPr>
                <w:webHidden/>
              </w:rPr>
              <w:fldChar w:fldCharType="separate"/>
            </w:r>
            <w:r w:rsidR="00067A1C">
              <w:rPr>
                <w:webHidden/>
              </w:rPr>
              <w:t>20</w:t>
            </w:r>
            <w:r w:rsidR="008679BB">
              <w:rPr>
                <w:webHidden/>
              </w:rPr>
              <w:fldChar w:fldCharType="end"/>
            </w:r>
          </w:hyperlink>
        </w:p>
        <w:p w:rsidR="005D488C" w:rsidRDefault="008679BB">
          <w:r>
            <w:rPr>
              <w:b/>
              <w:bCs/>
              <w:noProof/>
            </w:rPr>
            <w:fldChar w:fldCharType="end"/>
          </w:r>
        </w:p>
      </w:sdtContent>
    </w:sdt>
    <w:p w:rsidR="00B94D3B" w:rsidRDefault="00B94D3B" w:rsidP="004309B9"/>
    <w:p w:rsidR="00B94D3B" w:rsidRDefault="00B94D3B" w:rsidP="00F5639C">
      <w:pPr>
        <w:pStyle w:val="21"/>
        <w:sectPr w:rsidR="00B94D3B" w:rsidSect="0060397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386" w:right="1134" w:bottom="1134" w:left="1134" w:header="1134" w:footer="680" w:gutter="0"/>
          <w:pgNumType w:fmt="lowerRoman"/>
          <w:cols w:space="708"/>
          <w:titlePg/>
          <w:docGrid w:linePitch="360"/>
        </w:sectPr>
      </w:pPr>
    </w:p>
    <w:p w:rsidR="007C5EAE" w:rsidRPr="00F5639C" w:rsidRDefault="004471AF" w:rsidP="007B4310">
      <w:pPr>
        <w:pStyle w:val="1"/>
      </w:pPr>
      <w:bookmarkStart w:id="0" w:name="_Toc450721926"/>
      <w:r>
        <w:rPr>
          <w:lang w:val="ru-RU"/>
        </w:rPr>
        <w:lastRenderedPageBreak/>
        <w:t>Обзор</w:t>
      </w:r>
      <w:bookmarkEnd w:id="0"/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6298"/>
      </w:tblGrid>
      <w:tr w:rsidR="009919BA" w:rsidRPr="009A741A" w:rsidTr="00FA4B03">
        <w:tc>
          <w:tcPr>
            <w:tcW w:w="3022" w:type="dxa"/>
          </w:tcPr>
          <w:p w:rsidR="009919BA" w:rsidRPr="009919BA" w:rsidRDefault="009919BA" w:rsidP="008917C5">
            <w:proofErr w:type="spellStart"/>
            <w:r w:rsidRPr="009919BA">
              <w:t>Название</w:t>
            </w:r>
            <w:proofErr w:type="spellEnd"/>
            <w:r w:rsidRPr="009919BA">
              <w:t xml:space="preserve"> </w:t>
            </w:r>
            <w:proofErr w:type="spellStart"/>
            <w:r w:rsidRPr="009919BA">
              <w:t>производителя</w:t>
            </w:r>
            <w:proofErr w:type="spellEnd"/>
          </w:p>
        </w:tc>
        <w:tc>
          <w:tcPr>
            <w:tcW w:w="6298" w:type="dxa"/>
            <w:vAlign w:val="center"/>
          </w:tcPr>
          <w:p w:rsidR="009919BA" w:rsidRPr="009919BA" w:rsidRDefault="009919BA" w:rsidP="008917C5">
            <w:pPr>
              <w:rPr>
                <w:lang w:val="ru-RU"/>
              </w:rPr>
            </w:pPr>
            <w:r w:rsidRPr="009919BA">
              <w:rPr>
                <w:lang w:val="ru-RU"/>
              </w:rPr>
              <w:t>Государственное лесохозяйственное учреждение «Столбцовский лесхоз»</w:t>
            </w:r>
          </w:p>
        </w:tc>
      </w:tr>
      <w:tr w:rsidR="009919BA" w:rsidRPr="009A741A" w:rsidTr="00FA4B03">
        <w:tc>
          <w:tcPr>
            <w:tcW w:w="3022" w:type="dxa"/>
          </w:tcPr>
          <w:p w:rsidR="009919BA" w:rsidRPr="009919BA" w:rsidRDefault="009919BA" w:rsidP="008917C5">
            <w:proofErr w:type="spellStart"/>
            <w:r w:rsidRPr="009919BA">
              <w:t>Местоположение</w:t>
            </w:r>
            <w:proofErr w:type="spellEnd"/>
            <w:r w:rsidRPr="009919BA">
              <w:t xml:space="preserve"> </w:t>
            </w:r>
            <w:proofErr w:type="spellStart"/>
            <w:r w:rsidRPr="009919BA">
              <w:t>производителя</w:t>
            </w:r>
            <w:proofErr w:type="spellEnd"/>
          </w:p>
        </w:tc>
        <w:tc>
          <w:tcPr>
            <w:tcW w:w="6298" w:type="dxa"/>
          </w:tcPr>
          <w:p w:rsidR="009919BA" w:rsidRPr="009919BA" w:rsidRDefault="009919BA" w:rsidP="00A21B7A">
            <w:pPr>
              <w:rPr>
                <w:lang w:val="ru-RU"/>
              </w:rPr>
            </w:pPr>
            <w:r w:rsidRPr="009919BA">
              <w:rPr>
                <w:lang w:val="ru-RU"/>
              </w:rPr>
              <w:t>улица 17 Сентября, д.15</w:t>
            </w:r>
            <w:r w:rsidR="00A21B7A">
              <w:rPr>
                <w:lang w:val="ru-RU"/>
              </w:rPr>
              <w:t xml:space="preserve">, </w:t>
            </w:r>
            <w:r w:rsidR="00A21B7A" w:rsidRPr="009919BA">
              <w:rPr>
                <w:lang w:val="ru-RU"/>
              </w:rPr>
              <w:t>г. Столбцы</w:t>
            </w:r>
            <w:r w:rsidR="00A21B7A">
              <w:rPr>
                <w:lang w:val="ru-RU"/>
              </w:rPr>
              <w:t xml:space="preserve">,  </w:t>
            </w:r>
            <w:r w:rsidR="00A21B7A" w:rsidRPr="009919BA">
              <w:rPr>
                <w:lang w:val="ru-RU"/>
              </w:rPr>
              <w:t xml:space="preserve">Минская область, Республика Беларусь, </w:t>
            </w:r>
            <w:r w:rsidR="00A21B7A">
              <w:rPr>
                <w:lang w:val="ru-RU"/>
              </w:rPr>
              <w:t>222666</w:t>
            </w:r>
          </w:p>
        </w:tc>
      </w:tr>
      <w:tr w:rsidR="009919BA" w:rsidRPr="009919BA" w:rsidTr="00FA4B03">
        <w:tc>
          <w:tcPr>
            <w:tcW w:w="3022" w:type="dxa"/>
          </w:tcPr>
          <w:p w:rsidR="009919BA" w:rsidRPr="009919BA" w:rsidRDefault="009919BA" w:rsidP="008917C5">
            <w:proofErr w:type="spellStart"/>
            <w:r w:rsidRPr="009919BA">
              <w:t>Географическое</w:t>
            </w:r>
            <w:proofErr w:type="spellEnd"/>
            <w:r w:rsidRPr="009919BA">
              <w:t xml:space="preserve"> </w:t>
            </w:r>
            <w:proofErr w:type="spellStart"/>
            <w:r w:rsidRPr="009919BA">
              <w:t>расположение</w:t>
            </w:r>
            <w:proofErr w:type="spellEnd"/>
          </w:p>
        </w:tc>
        <w:tc>
          <w:tcPr>
            <w:tcW w:w="6298" w:type="dxa"/>
            <w:shd w:val="clear" w:color="auto" w:fill="auto"/>
          </w:tcPr>
          <w:p w:rsidR="009919BA" w:rsidRPr="009919BA" w:rsidRDefault="009919BA" w:rsidP="008917C5">
            <w:pPr>
              <w:rPr>
                <w:rFonts w:ascii="Arial" w:hAnsi="Arial" w:cs="Arial"/>
                <w:lang w:val="en-US"/>
              </w:rPr>
            </w:pPr>
            <w:r w:rsidRPr="009919BA">
              <w:t>53°28</w:t>
            </w:r>
            <w:r w:rsidRPr="009919BA">
              <w:rPr>
                <w:lang w:val="en-US"/>
              </w:rPr>
              <w:t>’25.3”N</w:t>
            </w:r>
          </w:p>
          <w:p w:rsidR="009919BA" w:rsidRPr="009919BA" w:rsidRDefault="009919BA" w:rsidP="008917C5">
            <w:pPr>
              <w:rPr>
                <w:lang w:val="en-US"/>
              </w:rPr>
            </w:pPr>
            <w:r w:rsidRPr="009919BA">
              <w:rPr>
                <w:lang w:val="en-US"/>
              </w:rPr>
              <w:t>26</w:t>
            </w:r>
            <w:r w:rsidRPr="009919BA">
              <w:t>°</w:t>
            </w:r>
            <w:r w:rsidRPr="009919BA">
              <w:rPr>
                <w:lang w:val="en-US"/>
              </w:rPr>
              <w:t>45’20.3”E</w:t>
            </w:r>
          </w:p>
        </w:tc>
      </w:tr>
      <w:tr w:rsidR="009919BA" w:rsidRPr="00BA120B" w:rsidTr="00FA4B03">
        <w:tc>
          <w:tcPr>
            <w:tcW w:w="3022" w:type="dxa"/>
          </w:tcPr>
          <w:p w:rsidR="009919BA" w:rsidRPr="009919BA" w:rsidRDefault="009919BA" w:rsidP="008917C5">
            <w:proofErr w:type="spellStart"/>
            <w:r w:rsidRPr="009919BA">
              <w:t>Контактное</w:t>
            </w:r>
            <w:proofErr w:type="spellEnd"/>
            <w:r w:rsidRPr="009919BA">
              <w:t xml:space="preserve"> </w:t>
            </w:r>
            <w:proofErr w:type="spellStart"/>
            <w:r w:rsidRPr="009919BA">
              <w:t>лицо</w:t>
            </w:r>
            <w:proofErr w:type="spellEnd"/>
          </w:p>
        </w:tc>
        <w:tc>
          <w:tcPr>
            <w:tcW w:w="6298" w:type="dxa"/>
          </w:tcPr>
          <w:p w:rsidR="00A21B7A" w:rsidRDefault="00E3119D" w:rsidP="008917C5">
            <w:pPr>
              <w:rPr>
                <w:lang w:val="ru-RU"/>
              </w:rPr>
            </w:pPr>
            <w:r>
              <w:rPr>
                <w:lang w:val="ru-RU"/>
              </w:rPr>
              <w:t>Шпилевский</w:t>
            </w:r>
            <w:r w:rsidR="009919BA" w:rsidRPr="009919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Геннадий Станиславович</w:t>
            </w:r>
            <w:r w:rsidR="00A21B7A">
              <w:rPr>
                <w:lang w:val="ru-RU"/>
              </w:rPr>
              <w:t xml:space="preserve">, </w:t>
            </w:r>
            <w:r w:rsidR="00A21B7A" w:rsidRPr="009919BA">
              <w:rPr>
                <w:lang w:val="ru-RU"/>
              </w:rPr>
              <w:t>улица 17 Сентября, д.15</w:t>
            </w:r>
            <w:r w:rsidR="00A21B7A">
              <w:rPr>
                <w:lang w:val="ru-RU"/>
              </w:rPr>
              <w:t xml:space="preserve">, </w:t>
            </w:r>
            <w:r w:rsidR="00A21B7A" w:rsidRPr="009919BA">
              <w:rPr>
                <w:lang w:val="ru-RU"/>
              </w:rPr>
              <w:t>г. Столбцы</w:t>
            </w:r>
            <w:r w:rsidR="00A21B7A">
              <w:rPr>
                <w:lang w:val="ru-RU"/>
              </w:rPr>
              <w:t xml:space="preserve">,  </w:t>
            </w:r>
            <w:r w:rsidR="00A21B7A" w:rsidRPr="009919BA">
              <w:rPr>
                <w:lang w:val="ru-RU"/>
              </w:rPr>
              <w:t xml:space="preserve">Минская область, Республика Беларусь, </w:t>
            </w:r>
            <w:r w:rsidR="00A21B7A">
              <w:rPr>
                <w:lang w:val="ru-RU"/>
              </w:rPr>
              <w:t>222666</w:t>
            </w:r>
          </w:p>
          <w:p w:rsidR="009919BA" w:rsidRPr="00215AE6" w:rsidRDefault="00A21B7A" w:rsidP="008917C5">
            <w:r>
              <w:rPr>
                <w:lang w:val="ru-RU"/>
              </w:rPr>
              <w:t>Тел</w:t>
            </w:r>
            <w:r w:rsidRPr="00215AE6">
              <w:t>.</w:t>
            </w:r>
            <w:r w:rsidR="009919BA" w:rsidRPr="00215AE6">
              <w:t>+375-1717-78837</w:t>
            </w:r>
          </w:p>
          <w:p w:rsidR="009919BA" w:rsidRPr="00215AE6" w:rsidRDefault="009919BA" w:rsidP="008917C5">
            <w:r w:rsidRPr="009919BA">
              <w:rPr>
                <w:lang w:val="en-US"/>
              </w:rPr>
              <w:t>email</w:t>
            </w:r>
            <w:r w:rsidRPr="00215AE6">
              <w:t xml:space="preserve">: </w:t>
            </w:r>
            <w:proofErr w:type="spellStart"/>
            <w:r w:rsidRPr="009919BA">
              <w:rPr>
                <w:lang w:val="en-US"/>
              </w:rPr>
              <w:t>stolbzyles</w:t>
            </w:r>
            <w:proofErr w:type="spellEnd"/>
            <w:r w:rsidRPr="00215AE6">
              <w:t>@</w:t>
            </w:r>
            <w:r w:rsidRPr="009919BA">
              <w:rPr>
                <w:lang w:val="en-US"/>
              </w:rPr>
              <w:t>tut</w:t>
            </w:r>
            <w:r w:rsidRPr="00215AE6">
              <w:t>.</w:t>
            </w:r>
            <w:r w:rsidRPr="009919BA">
              <w:rPr>
                <w:lang w:val="en-US"/>
              </w:rPr>
              <w:t>by</w:t>
            </w:r>
          </w:p>
        </w:tc>
      </w:tr>
      <w:tr w:rsidR="009919BA" w:rsidRPr="009919BA" w:rsidTr="00FA4B03">
        <w:tc>
          <w:tcPr>
            <w:tcW w:w="3022" w:type="dxa"/>
          </w:tcPr>
          <w:p w:rsidR="009919BA" w:rsidRPr="009919BA" w:rsidRDefault="009919BA" w:rsidP="008917C5">
            <w:proofErr w:type="spellStart"/>
            <w:r w:rsidRPr="009919BA">
              <w:t>Веб-сайт</w:t>
            </w:r>
            <w:proofErr w:type="spellEnd"/>
            <w:r w:rsidRPr="009919BA">
              <w:t xml:space="preserve"> </w:t>
            </w:r>
            <w:proofErr w:type="spellStart"/>
            <w:r w:rsidRPr="009919BA">
              <w:t>компании</w:t>
            </w:r>
            <w:proofErr w:type="spellEnd"/>
          </w:p>
        </w:tc>
        <w:tc>
          <w:tcPr>
            <w:tcW w:w="6298" w:type="dxa"/>
          </w:tcPr>
          <w:p w:rsidR="009919BA" w:rsidRPr="009919BA" w:rsidRDefault="009919BA" w:rsidP="008917C5">
            <w:pPr>
              <w:rPr>
                <w:lang w:val="en-US"/>
              </w:rPr>
            </w:pPr>
            <w:r w:rsidRPr="009919BA">
              <w:rPr>
                <w:lang w:val="en-US"/>
              </w:rPr>
              <w:t>http://stolbzyles.by</w:t>
            </w:r>
          </w:p>
        </w:tc>
      </w:tr>
      <w:tr w:rsidR="009919BA" w:rsidRPr="009919BA" w:rsidTr="00FA4B03">
        <w:tc>
          <w:tcPr>
            <w:tcW w:w="3022" w:type="dxa"/>
          </w:tcPr>
          <w:p w:rsidR="009919BA" w:rsidRPr="009919BA" w:rsidRDefault="009919BA" w:rsidP="008917C5">
            <w:proofErr w:type="spellStart"/>
            <w:r w:rsidRPr="009919BA">
              <w:t>Дата</w:t>
            </w:r>
            <w:proofErr w:type="spellEnd"/>
            <w:r w:rsidRPr="009919BA">
              <w:t xml:space="preserve"> </w:t>
            </w:r>
            <w:proofErr w:type="spellStart"/>
            <w:r w:rsidRPr="009919BA">
              <w:t>окончания</w:t>
            </w:r>
            <w:proofErr w:type="spellEnd"/>
            <w:r w:rsidRPr="009919BA">
              <w:t xml:space="preserve"> </w:t>
            </w:r>
            <w:proofErr w:type="spellStart"/>
            <w:r w:rsidRPr="009919BA">
              <w:t>отчета</w:t>
            </w:r>
            <w:proofErr w:type="spellEnd"/>
          </w:p>
        </w:tc>
        <w:tc>
          <w:tcPr>
            <w:tcW w:w="6298" w:type="dxa"/>
          </w:tcPr>
          <w:p w:rsidR="009919BA" w:rsidRPr="00BE5899" w:rsidRDefault="00FE0744" w:rsidP="008917C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</w:t>
            </w:r>
            <w:r w:rsidR="00BA120B" w:rsidRPr="00BE5899">
              <w:rPr>
                <w:color w:val="000000" w:themeColor="text1"/>
              </w:rPr>
              <w:t>/0</w:t>
            </w:r>
            <w:r w:rsidR="00BE5899" w:rsidRPr="00BE5899">
              <w:rPr>
                <w:color w:val="000000" w:themeColor="text1"/>
                <w:lang w:val="ru-RU"/>
              </w:rPr>
              <w:t>6</w:t>
            </w:r>
            <w:r w:rsidR="009919BA" w:rsidRPr="00BE5899">
              <w:rPr>
                <w:color w:val="000000" w:themeColor="text1"/>
              </w:rPr>
              <w:t>/201</w:t>
            </w:r>
            <w:r w:rsidR="00BE5899" w:rsidRPr="00BE5899">
              <w:rPr>
                <w:color w:val="000000" w:themeColor="text1"/>
                <w:lang w:val="ru-RU"/>
              </w:rPr>
              <w:t>9</w:t>
            </w:r>
          </w:p>
        </w:tc>
      </w:tr>
      <w:tr w:rsidR="009919BA" w:rsidRPr="009919BA" w:rsidTr="00FA4B03">
        <w:tc>
          <w:tcPr>
            <w:tcW w:w="3022" w:type="dxa"/>
          </w:tcPr>
          <w:p w:rsidR="009919BA" w:rsidRPr="009919BA" w:rsidRDefault="009919BA" w:rsidP="008917C5">
            <w:pPr>
              <w:rPr>
                <w:lang w:val="ru-RU"/>
              </w:rPr>
            </w:pPr>
            <w:r w:rsidRPr="009919BA">
              <w:rPr>
                <w:lang w:val="ru-RU"/>
              </w:rPr>
              <w:t>Закрытие последнего аудита:</w:t>
            </w:r>
          </w:p>
          <w:p w:rsidR="009919BA" w:rsidRPr="009919BA" w:rsidRDefault="009919BA" w:rsidP="008917C5">
            <w:pPr>
              <w:rPr>
                <w:lang w:val="ru-RU"/>
              </w:rPr>
            </w:pPr>
            <w:proofErr w:type="gramStart"/>
            <w:r w:rsidRPr="009919BA">
              <w:rPr>
                <w:lang w:val="ru-RU"/>
              </w:rPr>
              <w:t>проведенного</w:t>
            </w:r>
            <w:proofErr w:type="gramEnd"/>
            <w:r w:rsidRPr="009919BA">
              <w:rPr>
                <w:lang w:val="ru-RU"/>
              </w:rPr>
              <w:t xml:space="preserve"> ОС</w:t>
            </w:r>
          </w:p>
          <w:p w:rsidR="009919BA" w:rsidRPr="009919BA" w:rsidRDefault="009919BA" w:rsidP="008917C5">
            <w:pPr>
              <w:rPr>
                <w:lang w:val="ru-RU"/>
              </w:rPr>
            </w:pPr>
            <w:r w:rsidRPr="009919BA">
              <w:rPr>
                <w:lang w:val="ru-RU"/>
              </w:rPr>
              <w:t>название ОС</w:t>
            </w:r>
          </w:p>
        </w:tc>
        <w:tc>
          <w:tcPr>
            <w:tcW w:w="6298" w:type="dxa"/>
          </w:tcPr>
          <w:p w:rsidR="009919BA" w:rsidRPr="00BE5899" w:rsidRDefault="00FE0744" w:rsidP="008917C5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22/05/2018</w:t>
            </w:r>
          </w:p>
          <w:p w:rsidR="009919BA" w:rsidRPr="009919BA" w:rsidRDefault="009919BA" w:rsidP="008917C5">
            <w:pPr>
              <w:rPr>
                <w:lang w:val="ru-RU"/>
              </w:rPr>
            </w:pPr>
          </w:p>
          <w:p w:rsidR="009919BA" w:rsidRPr="009919BA" w:rsidRDefault="009919BA" w:rsidP="008917C5">
            <w:pPr>
              <w:rPr>
                <w:lang w:val="ru-RU"/>
              </w:rPr>
            </w:pPr>
          </w:p>
          <w:p w:rsidR="009919BA" w:rsidRPr="009919BA" w:rsidRDefault="009919BA" w:rsidP="008917C5">
            <w:pPr>
              <w:rPr>
                <w:lang w:val="en-US"/>
              </w:rPr>
            </w:pPr>
            <w:proofErr w:type="spellStart"/>
            <w:r w:rsidRPr="009919BA">
              <w:rPr>
                <w:lang w:val="en-US"/>
              </w:rPr>
              <w:t>NEPCon</w:t>
            </w:r>
            <w:proofErr w:type="spellEnd"/>
          </w:p>
        </w:tc>
      </w:tr>
      <w:tr w:rsidR="009919BA" w:rsidRPr="009919BA" w:rsidTr="00FA4B03">
        <w:tc>
          <w:tcPr>
            <w:tcW w:w="3022" w:type="dxa"/>
          </w:tcPr>
          <w:p w:rsidR="009919BA" w:rsidRPr="009919BA" w:rsidRDefault="009919BA" w:rsidP="008917C5">
            <w:proofErr w:type="spellStart"/>
            <w:r w:rsidRPr="009919BA">
              <w:t>Перевод</w:t>
            </w:r>
            <w:proofErr w:type="spellEnd"/>
            <w:r w:rsidRPr="009919BA">
              <w:t xml:space="preserve"> с </w:t>
            </w:r>
            <w:proofErr w:type="spellStart"/>
            <w:r w:rsidRPr="009919BA">
              <w:t>английского</w:t>
            </w:r>
            <w:proofErr w:type="spellEnd"/>
            <w:r w:rsidRPr="009919BA">
              <w:t xml:space="preserve"> </w:t>
            </w:r>
            <w:proofErr w:type="spellStart"/>
            <w:r w:rsidRPr="009919BA">
              <w:t>языка</w:t>
            </w:r>
            <w:proofErr w:type="spellEnd"/>
          </w:p>
        </w:tc>
        <w:tc>
          <w:tcPr>
            <w:tcW w:w="6298" w:type="dxa"/>
          </w:tcPr>
          <w:p w:rsidR="009919BA" w:rsidRPr="009919BA" w:rsidRDefault="009919BA" w:rsidP="008917C5">
            <w:proofErr w:type="spellStart"/>
            <w:r w:rsidRPr="009919BA">
              <w:t>да</w:t>
            </w:r>
            <w:proofErr w:type="spellEnd"/>
          </w:p>
        </w:tc>
      </w:tr>
      <w:tr w:rsidR="009919BA" w:rsidRPr="009A741A" w:rsidTr="00FA4B03">
        <w:tc>
          <w:tcPr>
            <w:tcW w:w="3022" w:type="dxa"/>
            <w:vAlign w:val="center"/>
          </w:tcPr>
          <w:p w:rsidR="009919BA" w:rsidRPr="009919BA" w:rsidRDefault="009919BA" w:rsidP="008917C5">
            <w:pPr>
              <w:rPr>
                <w:lang w:val="en-US"/>
              </w:rPr>
            </w:pPr>
            <w:proofErr w:type="spellStart"/>
            <w:r w:rsidRPr="009919BA">
              <w:t>Используемые</w:t>
            </w:r>
            <w:proofErr w:type="spellEnd"/>
            <w:r w:rsidRPr="009919BA">
              <w:t xml:space="preserve"> </w:t>
            </w:r>
            <w:proofErr w:type="spellStart"/>
            <w:r w:rsidRPr="009919BA">
              <w:t>стандарты</w:t>
            </w:r>
            <w:proofErr w:type="spellEnd"/>
            <w:r w:rsidRPr="009919BA">
              <w:t xml:space="preserve"> </w:t>
            </w:r>
            <w:r w:rsidRPr="009919BA">
              <w:rPr>
                <w:lang w:val="en-US"/>
              </w:rPr>
              <w:t>SBP</w:t>
            </w:r>
          </w:p>
        </w:tc>
        <w:tc>
          <w:tcPr>
            <w:tcW w:w="6298" w:type="dxa"/>
          </w:tcPr>
          <w:p w:rsidR="009919BA" w:rsidRPr="009919BA" w:rsidRDefault="009919BA" w:rsidP="008917C5">
            <w:pPr>
              <w:rPr>
                <w:lang w:val="ru-RU"/>
              </w:rPr>
            </w:pPr>
            <w:r w:rsidRPr="009919BA">
              <w:rPr>
                <w:lang w:val="en-US"/>
              </w:rPr>
              <w:t>SBP</w:t>
            </w:r>
            <w:r w:rsidRPr="009919BA">
              <w:rPr>
                <w:lang w:val="ru-RU"/>
              </w:rPr>
              <w:t xml:space="preserve"> Стандарт 2 «Проверка </w:t>
            </w:r>
            <w:r w:rsidRPr="009919BA">
              <w:rPr>
                <w:lang w:val="en-US"/>
              </w:rPr>
              <w:t>SBP</w:t>
            </w:r>
            <w:r w:rsidRPr="009919BA">
              <w:rPr>
                <w:lang w:val="ru-RU"/>
              </w:rPr>
              <w:t>-соответствующего сырья» (редакция 1.0</w:t>
            </w:r>
            <w:r w:rsidR="00B6602D">
              <w:rPr>
                <w:lang w:val="ru-RU"/>
              </w:rPr>
              <w:t>, март 201</w:t>
            </w:r>
            <w:r w:rsidR="002B5401" w:rsidRPr="002B5401">
              <w:rPr>
                <w:lang w:val="ru-RU"/>
              </w:rPr>
              <w:t>6</w:t>
            </w:r>
            <w:r w:rsidRPr="009919BA">
              <w:rPr>
                <w:lang w:val="ru-RU"/>
              </w:rPr>
              <w:t>)</w:t>
            </w:r>
            <w:r w:rsidR="00B6602D">
              <w:rPr>
                <w:lang w:val="ru-RU"/>
              </w:rPr>
              <w:t xml:space="preserve"> </w:t>
            </w:r>
          </w:p>
          <w:p w:rsidR="009919BA" w:rsidRPr="009919BA" w:rsidRDefault="009919BA" w:rsidP="008917C5">
            <w:pPr>
              <w:rPr>
                <w:lang w:val="ru-RU"/>
              </w:rPr>
            </w:pPr>
            <w:r w:rsidRPr="009919BA">
              <w:rPr>
                <w:lang w:val="en-US"/>
              </w:rPr>
              <w:t>SBP</w:t>
            </w:r>
            <w:r w:rsidRPr="009919BA">
              <w:rPr>
                <w:lang w:val="ru-RU"/>
              </w:rPr>
              <w:t xml:space="preserve"> Стандарт 4 «Цепь поставок» (редакция 1.0</w:t>
            </w:r>
            <w:r w:rsidR="00B6602D">
              <w:rPr>
                <w:lang w:val="ru-RU"/>
              </w:rPr>
              <w:t>, март 201</w:t>
            </w:r>
            <w:r w:rsidR="002B5401" w:rsidRPr="002B5401">
              <w:rPr>
                <w:lang w:val="ru-RU"/>
              </w:rPr>
              <w:t>6</w:t>
            </w:r>
            <w:r w:rsidRPr="009919BA">
              <w:rPr>
                <w:lang w:val="ru-RU"/>
              </w:rPr>
              <w:t>)</w:t>
            </w:r>
          </w:p>
          <w:p w:rsidR="009919BA" w:rsidRPr="009919BA" w:rsidRDefault="009919BA" w:rsidP="002B5401">
            <w:pPr>
              <w:rPr>
                <w:lang w:val="ru-RU"/>
              </w:rPr>
            </w:pPr>
            <w:r w:rsidRPr="009919BA">
              <w:rPr>
                <w:lang w:val="en-US"/>
              </w:rPr>
              <w:t>SBP</w:t>
            </w:r>
            <w:r w:rsidRPr="009919BA">
              <w:rPr>
                <w:lang w:val="ru-RU"/>
              </w:rPr>
              <w:t xml:space="preserve"> Стандарт 5 «Сбор и передача данных» (редакция 1.0</w:t>
            </w:r>
            <w:r w:rsidR="00B6602D">
              <w:rPr>
                <w:lang w:val="ru-RU"/>
              </w:rPr>
              <w:t>, март 201</w:t>
            </w:r>
            <w:r w:rsidR="002B5401" w:rsidRPr="002B5401">
              <w:rPr>
                <w:lang w:val="ru-RU"/>
              </w:rPr>
              <w:t>6</w:t>
            </w:r>
            <w:r w:rsidRPr="009919BA">
              <w:rPr>
                <w:lang w:val="ru-RU"/>
              </w:rPr>
              <w:t>)</w:t>
            </w:r>
          </w:p>
        </w:tc>
      </w:tr>
    </w:tbl>
    <w:p w:rsidR="00694124" w:rsidRDefault="00694124" w:rsidP="00694124">
      <w:pPr>
        <w:spacing w:after="0"/>
        <w:rPr>
          <w:lang w:val="ru-RU"/>
        </w:rPr>
      </w:pPr>
    </w:p>
    <w:p w:rsidR="00694124" w:rsidRDefault="00694124" w:rsidP="00694124">
      <w:pPr>
        <w:spacing w:after="0"/>
        <w:rPr>
          <w:lang w:val="ru-RU"/>
        </w:rPr>
      </w:pPr>
      <w:r>
        <w:rPr>
          <w:lang w:val="ru-RU"/>
        </w:rPr>
        <w:t xml:space="preserve">Веб-ссылка на используемые </w:t>
      </w:r>
    </w:p>
    <w:p w:rsidR="00694124" w:rsidRPr="00FD7AA5" w:rsidRDefault="00694124" w:rsidP="00694124">
      <w:pPr>
        <w:rPr>
          <w:lang w:val="ru-RU"/>
        </w:rPr>
      </w:pPr>
      <w:r>
        <w:rPr>
          <w:lang w:val="ru-RU"/>
        </w:rPr>
        <w:t>стандарты</w:t>
      </w:r>
      <w:r w:rsidRPr="00FD7AA5">
        <w:rPr>
          <w:lang w:val="ru-RU"/>
        </w:rPr>
        <w:t>:</w:t>
      </w:r>
      <w:r w:rsidRPr="00FD7AA5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94124">
        <w:t>https</w:t>
      </w:r>
      <w:r w:rsidRPr="00694124">
        <w:rPr>
          <w:lang w:val="ru-RU"/>
        </w:rPr>
        <w:t>://</w:t>
      </w:r>
      <w:proofErr w:type="spellStart"/>
      <w:r w:rsidRPr="00694124">
        <w:t>sbp</w:t>
      </w:r>
      <w:proofErr w:type="spellEnd"/>
      <w:r w:rsidRPr="00694124">
        <w:rPr>
          <w:lang w:val="ru-RU"/>
        </w:rPr>
        <w:t>-</w:t>
      </w:r>
      <w:r w:rsidRPr="00694124">
        <w:t>cert</w:t>
      </w:r>
      <w:r w:rsidRPr="00694124">
        <w:rPr>
          <w:lang w:val="ru-RU"/>
        </w:rPr>
        <w:t>.</w:t>
      </w:r>
      <w:r w:rsidRPr="00694124">
        <w:t>org</w:t>
      </w:r>
      <w:r w:rsidRPr="00694124">
        <w:rPr>
          <w:lang w:val="ru-RU"/>
        </w:rPr>
        <w:t>/</w:t>
      </w:r>
      <w:r w:rsidRPr="00694124">
        <w:t>documents</w:t>
      </w:r>
      <w:r w:rsidRPr="00694124">
        <w:rPr>
          <w:lang w:val="ru-RU"/>
        </w:rPr>
        <w:t>/</w:t>
      </w:r>
      <w:r w:rsidRPr="00694124">
        <w:t>standards</w:t>
      </w:r>
      <w:r w:rsidRPr="00694124">
        <w:rPr>
          <w:lang w:val="ru-RU"/>
        </w:rPr>
        <w:t>-</w:t>
      </w:r>
      <w:r w:rsidRPr="00694124">
        <w:t>documents</w:t>
      </w:r>
    </w:p>
    <w:p w:rsidR="00694124" w:rsidRPr="00123403" w:rsidRDefault="00694124" w:rsidP="00694124">
      <w:pPr>
        <w:spacing w:after="0"/>
        <w:rPr>
          <w:lang w:val="ru-RU"/>
        </w:rPr>
      </w:pPr>
      <w:r>
        <w:rPr>
          <w:lang w:val="ru-RU"/>
        </w:rPr>
        <w:t>Региональная</w:t>
      </w:r>
      <w:r w:rsidRPr="00123403">
        <w:rPr>
          <w:lang w:val="ru-RU"/>
        </w:rPr>
        <w:t xml:space="preserve"> </w:t>
      </w:r>
      <w:r>
        <w:rPr>
          <w:lang w:val="ru-RU"/>
        </w:rPr>
        <w:t>Оценка</w:t>
      </w:r>
      <w:r w:rsidRPr="00123403">
        <w:rPr>
          <w:lang w:val="ru-RU"/>
        </w:rPr>
        <w:t xml:space="preserve"> </w:t>
      </w:r>
      <w:r>
        <w:rPr>
          <w:lang w:val="ru-RU"/>
        </w:rPr>
        <w:t>Рисков</w:t>
      </w:r>
      <w:r w:rsidRPr="00123403">
        <w:rPr>
          <w:lang w:val="ru-RU"/>
        </w:rPr>
        <w:t xml:space="preserve">, </w:t>
      </w:r>
    </w:p>
    <w:p w:rsidR="00694124" w:rsidRPr="00FD7AA5" w:rsidRDefault="00694124" w:rsidP="00694124">
      <w:pPr>
        <w:rPr>
          <w:lang w:val="ru-RU"/>
        </w:rPr>
      </w:pPr>
      <w:r>
        <w:rPr>
          <w:lang w:val="ru-RU"/>
        </w:rPr>
        <w:t>одобренная</w:t>
      </w:r>
      <w:r w:rsidRPr="00FD7AA5">
        <w:rPr>
          <w:lang w:val="ru-RU"/>
        </w:rPr>
        <w:t xml:space="preserve"> </w:t>
      </w:r>
      <w:r>
        <w:t>SBP</w:t>
      </w:r>
      <w:r w:rsidRPr="00FD7AA5">
        <w:rPr>
          <w:lang w:val="ru-RU"/>
        </w:rPr>
        <w:t>:</w:t>
      </w:r>
      <w:r w:rsidRPr="00FD7AA5">
        <w:rPr>
          <w:lang w:val="ru-RU"/>
        </w:rPr>
        <w:tab/>
      </w:r>
      <w:r w:rsidRPr="00FD7AA5">
        <w:rPr>
          <w:lang w:val="ru-RU"/>
        </w:rPr>
        <w:tab/>
      </w:r>
      <w:r w:rsidRPr="00FD7AA5">
        <w:rPr>
          <w:lang w:val="ru-RU"/>
        </w:rPr>
        <w:tab/>
      </w:r>
      <w:r>
        <w:rPr>
          <w:lang w:val="ru-RU"/>
        </w:rPr>
        <w:t xml:space="preserve"> не применимо</w:t>
      </w:r>
    </w:p>
    <w:p w:rsidR="00694124" w:rsidRDefault="00694124" w:rsidP="00694124">
      <w:pPr>
        <w:spacing w:after="0"/>
        <w:rPr>
          <w:lang w:val="ru-RU"/>
        </w:rPr>
      </w:pPr>
      <w:r>
        <w:rPr>
          <w:lang w:val="ru-RU"/>
        </w:rPr>
        <w:t xml:space="preserve">Веб-ссылка на ОРБ на сайте </w:t>
      </w:r>
    </w:p>
    <w:p w:rsidR="009919BA" w:rsidRPr="00FD7AA5" w:rsidRDefault="00694124" w:rsidP="00ED692D">
      <w:pPr>
        <w:rPr>
          <w:lang w:val="ru-RU"/>
        </w:rPr>
      </w:pPr>
      <w:r>
        <w:rPr>
          <w:lang w:val="ru-RU"/>
        </w:rPr>
        <w:t>компании</w:t>
      </w:r>
      <w:r w:rsidRPr="00FD7AA5">
        <w:rPr>
          <w:lang w:val="ru-RU"/>
        </w:rPr>
        <w:t xml:space="preserve">: </w:t>
      </w:r>
      <w:r w:rsidRPr="00FD7AA5">
        <w:rPr>
          <w:lang w:val="ru-RU"/>
        </w:rPr>
        <w:tab/>
      </w:r>
      <w:r w:rsidRPr="00FD7AA5">
        <w:rPr>
          <w:lang w:val="ru-RU"/>
        </w:rPr>
        <w:tab/>
      </w:r>
      <w:r w:rsidRPr="00FD7AA5">
        <w:rPr>
          <w:lang w:val="ru-RU"/>
        </w:rPr>
        <w:tab/>
      </w:r>
      <w:r>
        <w:rPr>
          <w:lang w:val="ru-RU"/>
        </w:rPr>
        <w:tab/>
        <w:t>не применимо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861"/>
        <w:gridCol w:w="1872"/>
        <w:gridCol w:w="1872"/>
        <w:gridCol w:w="1872"/>
        <w:gridCol w:w="1873"/>
      </w:tblGrid>
      <w:tr w:rsidR="00ED692D" w:rsidRPr="009A741A" w:rsidTr="00FA4B03">
        <w:trPr>
          <w:trHeight w:val="647"/>
        </w:trPr>
        <w:tc>
          <w:tcPr>
            <w:tcW w:w="9350" w:type="dxa"/>
            <w:gridSpan w:val="5"/>
            <w:shd w:val="clear" w:color="auto" w:fill="315644" w:themeFill="accent3" w:themeFillShade="80"/>
            <w:vAlign w:val="center"/>
          </w:tcPr>
          <w:p w:rsidR="00ED692D" w:rsidRPr="00123403" w:rsidRDefault="00FD7AA5" w:rsidP="00FD7AA5">
            <w:pPr>
              <w:spacing w:before="120" w:line="240" w:lineRule="auto"/>
              <w:jc w:val="center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Обозначьте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текущую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оценку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в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рамках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цикла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Оценки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Ресурсной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Базы</w:t>
            </w:r>
            <w:r w:rsidR="00C604DF" w:rsidRPr="00123403">
              <w:rPr>
                <w:b/>
                <w:color w:val="FFFFFF" w:themeColor="background1"/>
                <w:lang w:val="ru-RU"/>
              </w:rPr>
              <w:t xml:space="preserve"> </w:t>
            </w:r>
          </w:p>
        </w:tc>
      </w:tr>
      <w:tr w:rsidR="00ED692D" w:rsidRPr="00ED692D" w:rsidTr="00FA4B03">
        <w:trPr>
          <w:trHeight w:val="620"/>
        </w:trPr>
        <w:tc>
          <w:tcPr>
            <w:tcW w:w="1861" w:type="dxa"/>
            <w:shd w:val="clear" w:color="auto" w:fill="A3CAB8" w:themeFill="accent3" w:themeFillTint="99"/>
            <w:vAlign w:val="center"/>
          </w:tcPr>
          <w:p w:rsidR="00ED692D" w:rsidRPr="00ED692D" w:rsidRDefault="00FD7AA5" w:rsidP="005734BC">
            <w:pPr>
              <w:spacing w:before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Основная</w:t>
            </w:r>
            <w:r w:rsidR="00ED692D" w:rsidRPr="00ED692D">
              <w:rPr>
                <w:b/>
                <w:lang w:val="en-US"/>
              </w:rPr>
              <w:t xml:space="preserve"> (</w:t>
            </w:r>
            <w:r>
              <w:rPr>
                <w:b/>
                <w:lang w:val="ru-RU"/>
              </w:rPr>
              <w:t>Главная</w:t>
            </w:r>
            <w:r w:rsidR="00ED692D" w:rsidRPr="00ED692D">
              <w:rPr>
                <w:b/>
                <w:lang w:val="en-US"/>
              </w:rPr>
              <w:t>)</w:t>
            </w:r>
          </w:p>
          <w:p w:rsidR="00ED692D" w:rsidRPr="00FD7AA5" w:rsidRDefault="00FD7AA5" w:rsidP="005734BC">
            <w:pPr>
              <w:spacing w:after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Оценка</w:t>
            </w:r>
          </w:p>
        </w:tc>
        <w:tc>
          <w:tcPr>
            <w:tcW w:w="1872" w:type="dxa"/>
            <w:shd w:val="clear" w:color="auto" w:fill="A3CAB8" w:themeFill="accent3" w:themeFillTint="99"/>
            <w:vAlign w:val="center"/>
          </w:tcPr>
          <w:p w:rsidR="00ED692D" w:rsidRPr="00FD7AA5" w:rsidRDefault="00FD7AA5" w:rsidP="005734BC">
            <w:pPr>
              <w:spacing w:before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Первый</w:t>
            </w:r>
          </w:p>
          <w:p w:rsidR="00ED692D" w:rsidRPr="00FD7AA5" w:rsidRDefault="00FD7AA5" w:rsidP="005734BC">
            <w:pPr>
              <w:spacing w:after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</w:t>
            </w:r>
          </w:p>
        </w:tc>
        <w:tc>
          <w:tcPr>
            <w:tcW w:w="1872" w:type="dxa"/>
            <w:shd w:val="clear" w:color="auto" w:fill="A3CAB8" w:themeFill="accent3" w:themeFillTint="99"/>
            <w:vAlign w:val="center"/>
          </w:tcPr>
          <w:p w:rsidR="00ED692D" w:rsidRPr="00FD7AA5" w:rsidRDefault="00FD7AA5" w:rsidP="00FD7AA5">
            <w:pPr>
              <w:spacing w:before="120" w:after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Второй</w:t>
            </w:r>
            <w:r w:rsidR="00ED692D" w:rsidRPr="00ED692D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контроль</w:t>
            </w:r>
          </w:p>
        </w:tc>
        <w:tc>
          <w:tcPr>
            <w:tcW w:w="1872" w:type="dxa"/>
            <w:shd w:val="clear" w:color="auto" w:fill="A3CAB8" w:themeFill="accent3" w:themeFillTint="99"/>
            <w:vAlign w:val="center"/>
          </w:tcPr>
          <w:p w:rsidR="00477B62" w:rsidRPr="00FD7AA5" w:rsidRDefault="00FD7AA5" w:rsidP="005734BC">
            <w:pPr>
              <w:spacing w:before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Третий</w:t>
            </w:r>
          </w:p>
          <w:p w:rsidR="00ED692D" w:rsidRPr="00FD7AA5" w:rsidRDefault="00FD7AA5" w:rsidP="005734BC">
            <w:pPr>
              <w:spacing w:after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</w:t>
            </w:r>
          </w:p>
        </w:tc>
        <w:tc>
          <w:tcPr>
            <w:tcW w:w="1873" w:type="dxa"/>
            <w:shd w:val="clear" w:color="auto" w:fill="A3CAB8" w:themeFill="accent3" w:themeFillTint="99"/>
            <w:vAlign w:val="center"/>
          </w:tcPr>
          <w:p w:rsidR="00477B62" w:rsidRPr="00FD7AA5" w:rsidRDefault="00FD7AA5" w:rsidP="005734BC">
            <w:pPr>
              <w:spacing w:before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Четвертый</w:t>
            </w:r>
          </w:p>
          <w:p w:rsidR="00ED692D" w:rsidRPr="00FD7AA5" w:rsidRDefault="00FD7AA5" w:rsidP="005734BC">
            <w:pPr>
              <w:spacing w:after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</w:t>
            </w:r>
          </w:p>
        </w:tc>
      </w:tr>
      <w:tr w:rsidR="00ED692D" w:rsidRPr="00ED692D" w:rsidTr="00FA4B03">
        <w:trPr>
          <w:trHeight w:val="710"/>
        </w:trPr>
        <w:tc>
          <w:tcPr>
            <w:tcW w:w="1861" w:type="dxa"/>
            <w:vAlign w:val="center"/>
          </w:tcPr>
          <w:p w:rsidR="00ED692D" w:rsidRPr="00BA120B" w:rsidRDefault="00BA120B" w:rsidP="00BA120B">
            <w:pPr>
              <w:spacing w:before="120" w:after="120"/>
              <w:ind w:left="426" w:hanging="426"/>
              <w:rPr>
                <w:b/>
                <w:sz w:val="32"/>
                <w:szCs w:val="32"/>
                <w:lang w:val="ru-RU"/>
              </w:rPr>
            </w:pPr>
            <w:r>
              <w:rPr>
                <w:rFonts w:cs="Segoe UI Symbol"/>
                <w:b/>
                <w:sz w:val="32"/>
                <w:szCs w:val="32"/>
                <w:lang w:val="ru-RU"/>
              </w:rPr>
              <w:t xml:space="preserve">        </w:t>
            </w:r>
            <w:r w:rsidRPr="005734BC">
              <w:rPr>
                <w:rFonts w:ascii="Segoe UI Symbol" w:hAnsi="Segoe UI Symbol" w:cs="Segoe UI Symbol"/>
                <w:b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2" w:type="dxa"/>
            <w:vAlign w:val="center"/>
          </w:tcPr>
          <w:p w:rsidR="00ED692D" w:rsidRPr="00BA120B" w:rsidRDefault="00BE5899" w:rsidP="005D488C">
            <w:pPr>
              <w:spacing w:before="120" w:after="120"/>
              <w:jc w:val="center"/>
              <w:rPr>
                <w:b/>
                <w:sz w:val="32"/>
                <w:szCs w:val="32"/>
                <w:lang w:val="ru-RU"/>
              </w:rPr>
            </w:pPr>
            <w:r w:rsidRPr="00BE5899">
              <w:rPr>
                <w:rFonts w:ascii="Segoe UI Symbol" w:hAnsi="Segoe UI Symbol" w:cs="Segoe UI Symbol"/>
                <w:b/>
                <w:color w:val="000000" w:themeColor="text1"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2" w:type="dxa"/>
            <w:vAlign w:val="center"/>
          </w:tcPr>
          <w:p w:rsidR="00ED692D" w:rsidRPr="00BE5899" w:rsidRDefault="00BA120B" w:rsidP="005D488C">
            <w:pPr>
              <w:spacing w:before="120" w:after="120"/>
              <w:jc w:val="center"/>
              <w:rPr>
                <w:b/>
                <w:color w:val="000000" w:themeColor="text1"/>
                <w:sz w:val="32"/>
                <w:szCs w:val="32"/>
                <w:lang w:val="ru-RU"/>
              </w:rPr>
            </w:pPr>
            <w:r w:rsidRPr="00BE5899">
              <w:rPr>
                <w:rFonts w:ascii="Segoe UI Symbol" w:hAnsi="Segoe UI Symbol" w:cs="Segoe UI Symbol"/>
                <w:b/>
                <w:color w:val="000000" w:themeColor="text1"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2" w:type="dxa"/>
            <w:vAlign w:val="center"/>
          </w:tcPr>
          <w:p w:rsidR="00ED692D" w:rsidRPr="005734BC" w:rsidRDefault="00675273" w:rsidP="005D488C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ru-RU"/>
              </w:rPr>
              <w:t>Х</w:t>
            </w:r>
          </w:p>
        </w:tc>
        <w:tc>
          <w:tcPr>
            <w:tcW w:w="1873" w:type="dxa"/>
            <w:vAlign w:val="center"/>
          </w:tcPr>
          <w:p w:rsidR="00ED692D" w:rsidRPr="005734BC" w:rsidRDefault="00675273" w:rsidP="005D488C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BE5899">
              <w:rPr>
                <w:rFonts w:ascii="Segoe UI Symbol" w:hAnsi="Segoe UI Symbol" w:cs="Segoe UI Symbol"/>
                <w:b/>
                <w:color w:val="000000" w:themeColor="text1"/>
                <w:sz w:val="32"/>
                <w:szCs w:val="32"/>
                <w:lang w:val="en-US"/>
              </w:rPr>
              <w:t>☐</w:t>
            </w:r>
          </w:p>
        </w:tc>
      </w:tr>
    </w:tbl>
    <w:p w:rsidR="00ED692D" w:rsidRDefault="00ED692D" w:rsidP="00ED692D"/>
    <w:p w:rsidR="00F5639C" w:rsidRDefault="002940FA" w:rsidP="007B4310">
      <w:pPr>
        <w:pStyle w:val="1"/>
      </w:pPr>
      <w:bookmarkStart w:id="1" w:name="_Toc450721927"/>
      <w:r>
        <w:rPr>
          <w:lang w:val="ru-RU"/>
        </w:rPr>
        <w:lastRenderedPageBreak/>
        <w:t>Описание Ресурсной Базы</w:t>
      </w:r>
      <w:bookmarkEnd w:id="1"/>
    </w:p>
    <w:p w:rsidR="00F5639C" w:rsidRPr="009919BA" w:rsidRDefault="002940FA" w:rsidP="00360FA4">
      <w:pPr>
        <w:pStyle w:val="2"/>
        <w:rPr>
          <w:lang w:val="ru-RU"/>
        </w:rPr>
      </w:pPr>
      <w:bookmarkStart w:id="2" w:name="_Toc450721928"/>
      <w:r w:rsidRPr="009919BA">
        <w:rPr>
          <w:lang w:val="ru-RU"/>
        </w:rPr>
        <w:t>Общее описание</w:t>
      </w:r>
      <w:bookmarkEnd w:id="2"/>
    </w:p>
    <w:p w:rsidR="009919BA" w:rsidRPr="009919BA" w:rsidRDefault="009919BA" w:rsidP="009919BA">
      <w:pPr>
        <w:widowControl w:val="0"/>
        <w:rPr>
          <w:rFonts w:asciiTheme="majorHAnsi" w:hAnsiTheme="majorHAnsi"/>
          <w:color w:val="558C72" w:themeColor="accent1" w:themeShade="80"/>
          <w:sz w:val="36"/>
          <w:szCs w:val="36"/>
          <w:lang w:val="ru-RU"/>
        </w:rPr>
      </w:pPr>
      <w:r w:rsidRPr="009919BA">
        <w:rPr>
          <w:rFonts w:asciiTheme="majorHAnsi" w:hAnsiTheme="majorHAnsi"/>
          <w:color w:val="558C72" w:themeColor="accent1" w:themeShade="80"/>
          <w:sz w:val="36"/>
          <w:szCs w:val="36"/>
          <w:lang w:val="ru-RU"/>
        </w:rPr>
        <w:t xml:space="preserve">2.1.1 </w:t>
      </w:r>
      <w:r>
        <w:rPr>
          <w:rFonts w:asciiTheme="majorHAnsi" w:hAnsiTheme="majorHAnsi"/>
          <w:color w:val="558C72" w:themeColor="accent1" w:themeShade="80"/>
          <w:sz w:val="36"/>
          <w:szCs w:val="36"/>
          <w:lang w:val="ru-RU"/>
        </w:rPr>
        <w:t xml:space="preserve"> </w:t>
      </w:r>
      <w:r w:rsidRPr="009919BA">
        <w:rPr>
          <w:rFonts w:asciiTheme="majorHAnsi" w:hAnsiTheme="majorHAnsi"/>
          <w:color w:val="558C72" w:themeColor="accent1" w:themeShade="80"/>
          <w:sz w:val="36"/>
          <w:szCs w:val="36"/>
          <w:lang w:val="ru-RU"/>
        </w:rPr>
        <w:t>Лесные ресурсы Республики Беларусь</w:t>
      </w:r>
    </w:p>
    <w:p w:rsidR="009919BA" w:rsidRDefault="009919BA" w:rsidP="00FA4B03">
      <w:pPr>
        <w:widowControl w:val="0"/>
        <w:jc w:val="both"/>
        <w:rPr>
          <w:lang w:val="ru-RU"/>
        </w:rPr>
      </w:pPr>
      <w:r w:rsidRPr="009919BA">
        <w:rPr>
          <w:lang w:val="ru-RU"/>
        </w:rPr>
        <w:t>Лесной фонд Беларуси как совокупность всех лесов страны натурального и искусственного происхождения включает покрытые лесом земли, а также другие земли, предназначенные для нужд лесного хозяйства. Общая площадь лесного фонда составила 9,</w:t>
      </w:r>
      <w:r w:rsidR="00E3119D">
        <w:rPr>
          <w:lang w:val="ru-RU"/>
        </w:rPr>
        <w:t>5</w:t>
      </w:r>
      <w:r w:rsidRPr="009919BA">
        <w:rPr>
          <w:lang w:val="ru-RU"/>
        </w:rPr>
        <w:t xml:space="preserve"> </w:t>
      </w:r>
      <w:proofErr w:type="gramStart"/>
      <w:r w:rsidRPr="009919BA">
        <w:rPr>
          <w:lang w:val="ru-RU"/>
        </w:rPr>
        <w:t>млн</w:t>
      </w:r>
      <w:proofErr w:type="gramEnd"/>
      <w:r w:rsidRPr="009919BA">
        <w:rPr>
          <w:lang w:val="ru-RU"/>
        </w:rPr>
        <w:t xml:space="preserve"> га, в том числе лесопокрытая (б</w:t>
      </w:r>
      <w:r w:rsidR="00E3119D">
        <w:rPr>
          <w:lang w:val="ru-RU"/>
        </w:rPr>
        <w:t xml:space="preserve">ез прогалин, высечек, гарей) – </w:t>
      </w:r>
      <w:r w:rsidRPr="009919BA">
        <w:rPr>
          <w:lang w:val="ru-RU"/>
        </w:rPr>
        <w:t>8</w:t>
      </w:r>
      <w:r w:rsidR="00E3119D">
        <w:rPr>
          <w:lang w:val="ru-RU"/>
        </w:rPr>
        <w:t>,2</w:t>
      </w:r>
      <w:r w:rsidRPr="009919BA">
        <w:rPr>
          <w:lang w:val="ru-RU"/>
        </w:rPr>
        <w:t xml:space="preserve"> млн га. Лесистос</w:t>
      </w:r>
      <w:r w:rsidR="00FA77FA">
        <w:rPr>
          <w:lang w:val="ru-RU"/>
        </w:rPr>
        <w:t>ть территории Беларуси составляет около 40</w:t>
      </w:r>
      <w:r w:rsidRPr="009919BA">
        <w:rPr>
          <w:lang w:val="ru-RU"/>
        </w:rPr>
        <w:t xml:space="preserve"> %, что в целом для нашей страны можно считать оптимальным. Динамика представлена на рисунке.</w:t>
      </w:r>
    </w:p>
    <w:p w:rsidR="009919BA" w:rsidRPr="009919BA" w:rsidRDefault="009A6D8B" w:rsidP="009A6D8B">
      <w:pPr>
        <w:widowControl w:val="0"/>
        <w:rPr>
          <w:lang w:val="ru-RU"/>
        </w:rPr>
      </w:pPr>
      <w:r w:rsidRPr="009A6D8B">
        <w:rPr>
          <w:lang w:val="ru-RU"/>
        </w:rPr>
        <w:t>Динамика лесистости территории Беларуси</w:t>
      </w:r>
      <w:r w:rsidR="009919BA" w:rsidRPr="009919BA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 wp14:anchorId="4EDDBE90" wp14:editId="2BE47DE5">
            <wp:extent cx="6120130" cy="3629539"/>
            <wp:effectExtent l="0" t="0" r="0" b="0"/>
            <wp:docPr id="4" name="Рисунок 4" descr="C:\Users\Светлана\Desktop\Ломако\Аудит SBP\SBP 2019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Ломако\Аудит SBP\SBP 2019\Снимо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9BA" w:rsidRPr="009919BA">
        <w:rPr>
          <w:lang w:val="ru-RU"/>
        </w:rPr>
        <w:br/>
        <w:t xml:space="preserve">   Лесные ресурсы Беларуси достаточно хорошо изучены, и по оценке э</w:t>
      </w:r>
      <w:r>
        <w:rPr>
          <w:lang w:val="ru-RU"/>
        </w:rPr>
        <w:t>кспертов запасы древесины в 2018</w:t>
      </w:r>
      <w:r w:rsidR="009919BA" w:rsidRPr="009919BA">
        <w:rPr>
          <w:lang w:val="ru-RU"/>
        </w:rPr>
        <w:t xml:space="preserve"> г. составляют </w:t>
      </w:r>
      <w:r>
        <w:rPr>
          <w:rFonts w:ascii="Arial" w:hAnsi="Arial" w:cs="Arial"/>
          <w:color w:val="151815"/>
          <w:shd w:val="clear" w:color="auto" w:fill="F5F6F8"/>
          <w:lang w:val="ru-RU"/>
        </w:rPr>
        <w:t>1796,0 млн. м</w:t>
      </w:r>
      <w:r>
        <w:rPr>
          <w:rFonts w:ascii="Arial" w:hAnsi="Arial" w:cs="Arial"/>
          <w:color w:val="151815"/>
          <w:shd w:val="clear" w:color="auto" w:fill="F5F6F8"/>
          <w:vertAlign w:val="superscript"/>
          <w:lang w:val="ru-RU"/>
        </w:rPr>
        <w:t>3</w:t>
      </w:r>
      <w:r w:rsidR="009919BA" w:rsidRPr="009919BA">
        <w:rPr>
          <w:lang w:val="ru-RU"/>
        </w:rPr>
        <w:t xml:space="preserve">, в том числе возможные для эксплуатации (спелые и перестойные) — около </w:t>
      </w:r>
      <w:r>
        <w:rPr>
          <w:rFonts w:ascii="Arial" w:hAnsi="Arial" w:cs="Arial"/>
          <w:color w:val="151815"/>
          <w:sz w:val="21"/>
          <w:szCs w:val="21"/>
          <w:shd w:val="clear" w:color="auto" w:fill="F5F6F8"/>
        </w:rPr>
        <w:t> </w:t>
      </w:r>
      <w:r w:rsidRPr="009A6D8B">
        <w:rPr>
          <w:rFonts w:ascii="Arial" w:hAnsi="Arial" w:cs="Arial"/>
          <w:color w:val="151815"/>
          <w:shd w:val="clear" w:color="auto" w:fill="F5F6F8"/>
          <w:lang w:val="ru-RU"/>
        </w:rPr>
        <w:t>296,0 млн.</w:t>
      </w:r>
      <w:r>
        <w:rPr>
          <w:rFonts w:ascii="Arial" w:hAnsi="Arial" w:cs="Arial"/>
          <w:color w:val="151815"/>
          <w:shd w:val="clear" w:color="auto" w:fill="F5F6F8"/>
          <w:lang w:val="ru-RU"/>
        </w:rPr>
        <w:t xml:space="preserve"> м</w:t>
      </w:r>
      <w:r>
        <w:rPr>
          <w:rFonts w:ascii="Arial" w:hAnsi="Arial" w:cs="Arial"/>
          <w:color w:val="151815"/>
          <w:shd w:val="clear" w:color="auto" w:fill="F5F6F8"/>
          <w:vertAlign w:val="superscript"/>
          <w:lang w:val="ru-RU"/>
        </w:rPr>
        <w:t>3</w:t>
      </w:r>
      <w:r w:rsidR="009919BA" w:rsidRPr="004C6380">
        <w:rPr>
          <w:lang w:val="ru-RU"/>
        </w:rPr>
        <w:t>.</w:t>
      </w:r>
      <w:r w:rsidR="009919BA" w:rsidRPr="009919BA">
        <w:rPr>
          <w:lang w:val="ru-RU"/>
        </w:rPr>
        <w:t xml:space="preserve"> Общий прирост лесов - примерно 32,1 млн. м3 в год. Средни</w:t>
      </w:r>
      <w:r>
        <w:rPr>
          <w:lang w:val="ru-RU"/>
        </w:rPr>
        <w:t>й возраст белорусских лесов — 56</w:t>
      </w:r>
      <w:r w:rsidR="009919BA" w:rsidRPr="009919BA">
        <w:rPr>
          <w:lang w:val="ru-RU"/>
        </w:rPr>
        <w:t xml:space="preserve"> года. По возрастным категориям покрытая лесом площадь распределяется следующим образом: молодняки — 18,7 %, средневозрастные — 46,0, приспевающие — 22,8, спелые и перестойные - 12,5 %.</w:t>
      </w:r>
    </w:p>
    <w:p w:rsidR="009919BA" w:rsidRDefault="009919BA" w:rsidP="00FA4B03">
      <w:pPr>
        <w:widowControl w:val="0"/>
        <w:jc w:val="both"/>
        <w:rPr>
          <w:lang w:val="ru-RU"/>
        </w:rPr>
      </w:pPr>
      <w:r w:rsidRPr="009919BA">
        <w:rPr>
          <w:lang w:val="ru-RU"/>
        </w:rPr>
        <w:t>Структура представлена на рисунке ниже.</w:t>
      </w:r>
    </w:p>
    <w:p w:rsidR="009919BA" w:rsidRPr="009919BA" w:rsidRDefault="009919BA" w:rsidP="009919BA">
      <w:pPr>
        <w:widowControl w:val="0"/>
        <w:ind w:left="567" w:hanging="425"/>
        <w:jc w:val="both"/>
        <w:rPr>
          <w:lang w:val="ru-RU"/>
        </w:rPr>
      </w:pPr>
      <w:r w:rsidRPr="009919BA">
        <w:rPr>
          <w:noProof/>
          <w:lang w:val="ru-RU" w:eastAsia="ru-RU"/>
        </w:rPr>
        <w:lastRenderedPageBreak/>
        <w:drawing>
          <wp:inline distT="0" distB="0" distL="0" distR="0">
            <wp:extent cx="6219825" cy="3793490"/>
            <wp:effectExtent l="19050" t="0" r="9525" b="0"/>
            <wp:docPr id="2" name="Рисунок 3" descr="http://www.zavtrasessiya.com/img/misc/2015121823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vtrasessiya.com/img/misc/201512182319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BA" w:rsidRPr="004C6380" w:rsidRDefault="009919BA" w:rsidP="004C6380">
      <w:pPr>
        <w:widowControl w:val="0"/>
        <w:jc w:val="both"/>
        <w:rPr>
          <w:color w:val="FF0000"/>
          <w:lang w:val="ru-RU"/>
        </w:rPr>
      </w:pPr>
      <w:r w:rsidRPr="009919BA">
        <w:rPr>
          <w:lang w:val="ru-RU"/>
        </w:rPr>
        <w:t xml:space="preserve">Лесопользование в Беларуси осуществляется по принципу непрерывности и </w:t>
      </w:r>
      <w:proofErr w:type="spellStart"/>
      <w:r w:rsidRPr="009919BA">
        <w:rPr>
          <w:lang w:val="ru-RU"/>
        </w:rPr>
        <w:t>неистощительности</w:t>
      </w:r>
      <w:proofErr w:type="spellEnd"/>
      <w:r w:rsidRPr="009919BA">
        <w:rPr>
          <w:lang w:val="ru-RU"/>
        </w:rPr>
        <w:t>; среднегодовые заготовки древесины составляют 10,0-11,2 млн</w:t>
      </w:r>
      <w:proofErr w:type="gramStart"/>
      <w:r w:rsidR="0076021C">
        <w:rPr>
          <w:lang w:val="ru-RU"/>
        </w:rPr>
        <w:t>.</w:t>
      </w:r>
      <w:r w:rsidRPr="009919BA">
        <w:rPr>
          <w:lang w:val="ru-RU"/>
        </w:rPr>
        <w:t>м</w:t>
      </w:r>
      <w:proofErr w:type="gramEnd"/>
      <w:r w:rsidRPr="009919BA">
        <w:rPr>
          <w:vertAlign w:val="superscript"/>
          <w:lang w:val="ru-RU"/>
        </w:rPr>
        <w:t>3</w:t>
      </w:r>
      <w:r w:rsidRPr="009919BA">
        <w:rPr>
          <w:lang w:val="ru-RU"/>
        </w:rPr>
        <w:t xml:space="preserve"> в год, из них в порядке ведения рубок главного пользования (в спелых древостоях) – 4,3-4,5 млн</w:t>
      </w:r>
      <w:r w:rsidR="0076021C">
        <w:rPr>
          <w:lang w:val="ru-RU"/>
        </w:rPr>
        <w:t>.</w:t>
      </w:r>
      <w:r w:rsidRPr="009919BA">
        <w:rPr>
          <w:lang w:val="ru-RU"/>
        </w:rPr>
        <w:t>м</w:t>
      </w:r>
      <w:r w:rsidRPr="009919BA">
        <w:rPr>
          <w:vertAlign w:val="superscript"/>
          <w:lang w:val="ru-RU"/>
        </w:rPr>
        <w:t>3</w:t>
      </w:r>
      <w:r>
        <w:rPr>
          <w:lang w:val="ru-RU"/>
        </w:rPr>
        <w:t xml:space="preserve"> (40 %), </w:t>
      </w:r>
      <w:r w:rsidRPr="009919BA">
        <w:rPr>
          <w:lang w:val="ru-RU"/>
        </w:rPr>
        <w:t>рубок ухода за лесом и санитарных рубок (о молодняках, средневозрастных и приспевающих насаждениях) - 5,4 млн.м</w:t>
      </w:r>
      <w:r w:rsidRPr="009919BA">
        <w:rPr>
          <w:vertAlign w:val="superscript"/>
          <w:lang w:val="ru-RU"/>
        </w:rPr>
        <w:t>3</w:t>
      </w:r>
      <w:r w:rsidRPr="009919BA">
        <w:rPr>
          <w:lang w:val="ru-RU"/>
        </w:rPr>
        <w:t xml:space="preserve"> (48 %) и прочих ру</w:t>
      </w:r>
      <w:r w:rsidRPr="009919BA">
        <w:rPr>
          <w:lang w:val="ru-RU"/>
        </w:rPr>
        <w:softHyphen/>
        <w:t>бок - 1,0-1,3 млн.м</w:t>
      </w:r>
      <w:r w:rsidRPr="009919BA">
        <w:rPr>
          <w:vertAlign w:val="superscript"/>
          <w:lang w:val="ru-RU"/>
        </w:rPr>
        <w:t>3</w:t>
      </w:r>
      <w:r w:rsidRPr="009919BA">
        <w:rPr>
          <w:lang w:val="ru-RU"/>
        </w:rPr>
        <w:t xml:space="preserve"> древесины (12 %).</w:t>
      </w:r>
      <w:r w:rsidR="00FA4B03">
        <w:rPr>
          <w:lang w:val="ru-RU"/>
        </w:rPr>
        <w:t xml:space="preserve"> </w:t>
      </w:r>
      <w:r w:rsidR="004C6380">
        <w:rPr>
          <w:lang w:val="ru-RU"/>
        </w:rPr>
        <w:t>О</w:t>
      </w:r>
      <w:r w:rsidRPr="009919BA">
        <w:rPr>
          <w:lang w:val="ru-RU"/>
        </w:rPr>
        <w:t xml:space="preserve">бъемы рубок леса могут превысить 16 </w:t>
      </w:r>
      <w:proofErr w:type="gramStart"/>
      <w:r w:rsidRPr="009919BA">
        <w:rPr>
          <w:lang w:val="ru-RU"/>
        </w:rPr>
        <w:t>млн</w:t>
      </w:r>
      <w:proofErr w:type="gramEnd"/>
      <w:r w:rsidRPr="009919BA">
        <w:rPr>
          <w:lang w:val="ru-RU"/>
        </w:rPr>
        <w:t xml:space="preserve"> м</w:t>
      </w:r>
      <w:r w:rsidRPr="009919BA">
        <w:rPr>
          <w:vertAlign w:val="superscript"/>
          <w:lang w:val="ru-RU"/>
        </w:rPr>
        <w:t>3</w:t>
      </w:r>
      <w:r w:rsidRPr="009919BA">
        <w:rPr>
          <w:lang w:val="ru-RU"/>
        </w:rPr>
        <w:t xml:space="preserve"> 2016-2020 гг. – 19 млн м</w:t>
      </w:r>
      <w:r w:rsidRPr="009919BA">
        <w:rPr>
          <w:vertAlign w:val="superscript"/>
          <w:lang w:val="ru-RU"/>
        </w:rPr>
        <w:t>3</w:t>
      </w:r>
      <w:r w:rsidRPr="009919BA">
        <w:rPr>
          <w:lang w:val="ru-RU"/>
        </w:rPr>
        <w:t>. Это, однако, не должно нанести экологического ущерба лесам, поскольку суммарный годовой прирост древесины в лесах Беларуси уже в настоящее время составляет около 25 млн. м</w:t>
      </w:r>
      <w:r w:rsidRPr="009919BA">
        <w:rPr>
          <w:vertAlign w:val="superscript"/>
          <w:lang w:val="ru-RU"/>
        </w:rPr>
        <w:t>3</w:t>
      </w:r>
      <w:r w:rsidRPr="009919BA">
        <w:rPr>
          <w:lang w:val="ru-RU"/>
        </w:rPr>
        <w:t xml:space="preserve"> в год и продолжает увеличиваться по мере роста лесистости и выравнивания возрастной структуры лесов. Режим лесопользования в первую очередь определяется размером расчетной лесосеки</w:t>
      </w:r>
      <w:proofErr w:type="gramStart"/>
      <w:r w:rsidRPr="006F609D">
        <w:rPr>
          <w:color w:val="FF0000"/>
          <w:lang w:val="ru-RU"/>
        </w:rPr>
        <w:t>.</w:t>
      </w:r>
      <w:r w:rsidRPr="009919BA">
        <w:rPr>
          <w:lang w:val="ru-RU"/>
        </w:rPr>
        <w:t xml:space="preserve">. </w:t>
      </w:r>
      <w:proofErr w:type="gramEnd"/>
      <w:r w:rsidRPr="009919BA">
        <w:rPr>
          <w:lang w:val="ru-RU"/>
        </w:rPr>
        <w:t xml:space="preserve">В последние годы расчетная лесосека по рубкам главного пользования использовалась лишь на 70-80 %. </w:t>
      </w:r>
      <w:proofErr w:type="spellStart"/>
      <w:r w:rsidRPr="009919BA">
        <w:rPr>
          <w:lang w:val="ru-RU"/>
        </w:rPr>
        <w:t>Недоосвоение</w:t>
      </w:r>
      <w:proofErr w:type="spellEnd"/>
      <w:r w:rsidRPr="009919BA">
        <w:rPr>
          <w:lang w:val="ru-RU"/>
        </w:rPr>
        <w:t xml:space="preserve"> происходит в основном по </w:t>
      </w:r>
      <w:proofErr w:type="spellStart"/>
      <w:r w:rsidRPr="009919BA">
        <w:rPr>
          <w:lang w:val="ru-RU"/>
        </w:rPr>
        <w:t>мягколиственным</w:t>
      </w:r>
      <w:proofErr w:type="spellEnd"/>
      <w:r w:rsidRPr="009919BA">
        <w:rPr>
          <w:lang w:val="ru-RU"/>
        </w:rPr>
        <w:t xml:space="preserve"> породам, мелкотоварной древесине и в труднодоступных местах, где заго</w:t>
      </w:r>
      <w:r w:rsidRPr="009919BA">
        <w:rPr>
          <w:lang w:val="ru-RU"/>
        </w:rPr>
        <w:softHyphen/>
        <w:t>товки оказываются невыгодными. Применение древесины для энергетических нужд сдерживается отсутствием капитальных вложений. Среднегодовой объем лесопользования последних лет составлял всего 1,5-1,7 м</w:t>
      </w:r>
      <w:r w:rsidRPr="009919BA">
        <w:rPr>
          <w:vertAlign w:val="superscript"/>
          <w:lang w:val="ru-RU"/>
        </w:rPr>
        <w:t>3</w:t>
      </w:r>
      <w:r w:rsidRPr="009919BA">
        <w:rPr>
          <w:lang w:val="ru-RU"/>
        </w:rPr>
        <w:t xml:space="preserve"> древесины с 1 га покрытой лесом площади, что в 2,4 раза меньше ежегодного среднего прироста древесины – 3,6 м</w:t>
      </w:r>
      <w:r w:rsidRPr="009919BA">
        <w:rPr>
          <w:vertAlign w:val="superscript"/>
          <w:lang w:val="ru-RU"/>
        </w:rPr>
        <w:t>3</w:t>
      </w:r>
      <w:r w:rsidRPr="009919BA">
        <w:rPr>
          <w:lang w:val="ru-RU"/>
        </w:rPr>
        <w:t xml:space="preserve">/га. </w:t>
      </w:r>
    </w:p>
    <w:p w:rsidR="009919BA" w:rsidRPr="0076021C" w:rsidRDefault="009919BA" w:rsidP="00FA4B03">
      <w:pPr>
        <w:widowControl w:val="0"/>
        <w:jc w:val="both"/>
        <w:rPr>
          <w:rFonts w:asciiTheme="majorHAnsi" w:hAnsiTheme="majorHAnsi"/>
          <w:color w:val="558C72" w:themeColor="accent1" w:themeShade="80"/>
          <w:sz w:val="36"/>
          <w:szCs w:val="36"/>
          <w:lang w:val="ru-RU"/>
        </w:rPr>
      </w:pPr>
      <w:r w:rsidRPr="0076021C">
        <w:rPr>
          <w:rFonts w:asciiTheme="majorHAnsi" w:hAnsiTheme="majorHAnsi"/>
          <w:color w:val="558C72" w:themeColor="accent1" w:themeShade="80"/>
          <w:sz w:val="36"/>
          <w:szCs w:val="36"/>
          <w:lang w:val="ru-RU"/>
        </w:rPr>
        <w:t>Лесная и деревообрабатывающая промышленность</w:t>
      </w:r>
    </w:p>
    <w:p w:rsidR="00543AEE" w:rsidRDefault="009919BA" w:rsidP="00FA4B03">
      <w:pPr>
        <w:widowControl w:val="0"/>
        <w:jc w:val="both"/>
        <w:rPr>
          <w:lang w:val="ru-RU"/>
        </w:rPr>
      </w:pPr>
      <w:r w:rsidRPr="009919BA">
        <w:rPr>
          <w:lang w:val="ru-RU"/>
        </w:rPr>
        <w:t xml:space="preserve">В Беларуси лесная промышленность состоит из лесного хозяйства (13,5% всей продукции), деревообрабатывающего (69,5% всей продукции), целлюлозно-бумажного (16,4% всей продукции) секторов. Исторически сложилось так, что лесопиление всегда было одним из самых существенных видов деятельности, где около 1500 субъектов хозяйствования, имеют лицензии на производство </w:t>
      </w:r>
      <w:r w:rsidRPr="009919BA">
        <w:rPr>
          <w:lang w:val="ru-RU"/>
        </w:rPr>
        <w:lastRenderedPageBreak/>
        <w:t xml:space="preserve">пиломатериалов. Большинство из них производство пиломатериалов в сочетании с механической деревообработкой (оконные и дверные блоки, деревянные каркасные дома) или заготовка древесины. Государственные лесохозяйственные учреждения («лесхозы») также владеют деревообрабатывающими цехами, где обрабатываются круглые лесоматериалы собственного производства. </w:t>
      </w:r>
    </w:p>
    <w:p w:rsidR="00544AD8" w:rsidRPr="00544AD8" w:rsidRDefault="00544AD8" w:rsidP="00FA4B03">
      <w:pPr>
        <w:widowControl w:val="0"/>
        <w:jc w:val="both"/>
        <w:rPr>
          <w:lang w:val="ru-RU"/>
        </w:rPr>
      </w:pPr>
      <w:r>
        <w:rPr>
          <w:lang w:val="ru-RU"/>
        </w:rPr>
        <w:t xml:space="preserve">В настоящий момент в Республике Беларусь сертифицировано </w:t>
      </w:r>
      <w:r w:rsidRPr="00544AD8">
        <w:rPr>
          <w:b/>
          <w:bCs/>
          <w:lang w:val="ru-RU"/>
        </w:rPr>
        <w:t>8,39</w:t>
      </w:r>
      <w:r w:rsidRPr="00544AD8">
        <w:rPr>
          <w:lang w:val="ru-RU"/>
        </w:rPr>
        <w:t> </w:t>
      </w:r>
      <w:proofErr w:type="gramStart"/>
      <w:r w:rsidRPr="00544AD8">
        <w:rPr>
          <w:lang w:val="ru-RU"/>
        </w:rPr>
        <w:t>млн</w:t>
      </w:r>
      <w:proofErr w:type="gramEnd"/>
      <w:r w:rsidRPr="00544AD8">
        <w:rPr>
          <w:lang w:val="ru-RU"/>
        </w:rPr>
        <w:t xml:space="preserve"> га</w:t>
      </w:r>
      <w:r>
        <w:rPr>
          <w:lang w:val="ru-RU"/>
        </w:rPr>
        <w:t xml:space="preserve">, получены </w:t>
      </w:r>
      <w:r w:rsidRPr="00544AD8">
        <w:rPr>
          <w:b/>
          <w:bCs/>
          <w:lang w:val="ru-RU"/>
        </w:rPr>
        <w:t>144</w:t>
      </w:r>
      <w:r w:rsidRPr="00544AD8">
        <w:rPr>
          <w:lang w:val="ru-RU"/>
        </w:rPr>
        <w:t>  сертификата цепочки поставок</w:t>
      </w:r>
      <w:r>
        <w:rPr>
          <w:lang w:val="ru-RU"/>
        </w:rPr>
        <w:t>.</w:t>
      </w:r>
    </w:p>
    <w:p w:rsidR="009919BA" w:rsidRPr="0076021C" w:rsidRDefault="009919BA" w:rsidP="00FA4B03">
      <w:pPr>
        <w:widowControl w:val="0"/>
        <w:rPr>
          <w:rFonts w:asciiTheme="majorHAnsi" w:hAnsiTheme="majorHAnsi"/>
          <w:color w:val="558C72" w:themeColor="accent1" w:themeShade="80"/>
          <w:sz w:val="36"/>
          <w:szCs w:val="36"/>
          <w:lang w:val="ru-RU"/>
        </w:rPr>
      </w:pPr>
      <w:r w:rsidRPr="0076021C">
        <w:rPr>
          <w:rFonts w:asciiTheme="majorHAnsi" w:hAnsiTheme="majorHAnsi"/>
          <w:color w:val="558C72" w:themeColor="accent1" w:themeShade="80"/>
          <w:sz w:val="36"/>
          <w:szCs w:val="36"/>
          <w:lang w:val="ru-RU"/>
        </w:rPr>
        <w:t>2.1.2 Государственное лесохозяйственное учреждение «Столбцовский лесхоз»</w:t>
      </w:r>
    </w:p>
    <w:p w:rsidR="00330F97" w:rsidRPr="008A46E4" w:rsidRDefault="00330F97" w:rsidP="00FA4B03">
      <w:pPr>
        <w:widowControl w:val="0"/>
        <w:jc w:val="both"/>
        <w:rPr>
          <w:lang w:val="ru-RU"/>
        </w:rPr>
      </w:pPr>
      <w:r w:rsidRPr="008A46E4">
        <w:rPr>
          <w:lang w:val="ru-RU"/>
        </w:rPr>
        <w:t>Ресурсной базой Столбцовского лесхоза является только собственная территория.</w:t>
      </w:r>
    </w:p>
    <w:p w:rsidR="000F72D0" w:rsidRPr="000F72D0" w:rsidRDefault="000F72D0" w:rsidP="000F72D0">
      <w:pPr>
        <w:widowControl w:val="0"/>
        <w:jc w:val="both"/>
        <w:rPr>
          <w:lang w:val="ru-RU"/>
        </w:rPr>
      </w:pPr>
      <w:r w:rsidRPr="000F72D0">
        <w:rPr>
          <w:lang w:val="ru-RU"/>
        </w:rPr>
        <w:t xml:space="preserve">Леса – основной (зональный) тип растительности на территории Столбцовского лесхоза. В состав лесхоза входят: </w:t>
      </w:r>
      <w:proofErr w:type="spellStart"/>
      <w:r w:rsidRPr="000F72D0">
        <w:rPr>
          <w:lang w:val="ru-RU"/>
        </w:rPr>
        <w:t>Окинчицкое</w:t>
      </w:r>
      <w:proofErr w:type="spellEnd"/>
      <w:r w:rsidRPr="000F72D0">
        <w:rPr>
          <w:lang w:val="ru-RU"/>
        </w:rPr>
        <w:t xml:space="preserve">, Опечковское, </w:t>
      </w:r>
      <w:proofErr w:type="spellStart"/>
      <w:r w:rsidRPr="000F72D0">
        <w:rPr>
          <w:lang w:val="ru-RU"/>
        </w:rPr>
        <w:t>Прудское</w:t>
      </w:r>
      <w:proofErr w:type="spellEnd"/>
      <w:r w:rsidRPr="000F72D0">
        <w:rPr>
          <w:lang w:val="ru-RU"/>
        </w:rPr>
        <w:t xml:space="preserve">, Налибокское, </w:t>
      </w:r>
      <w:proofErr w:type="spellStart"/>
      <w:r w:rsidRPr="000F72D0">
        <w:rPr>
          <w:lang w:val="ru-RU"/>
        </w:rPr>
        <w:t>Кульское</w:t>
      </w:r>
      <w:proofErr w:type="spellEnd"/>
      <w:r w:rsidRPr="000F72D0">
        <w:rPr>
          <w:lang w:val="ru-RU"/>
        </w:rPr>
        <w:t xml:space="preserve">, Клетищенское, Рубежевичское, </w:t>
      </w:r>
      <w:proofErr w:type="spellStart"/>
      <w:r w:rsidRPr="000F72D0">
        <w:rPr>
          <w:lang w:val="ru-RU"/>
        </w:rPr>
        <w:t>Старинское</w:t>
      </w:r>
      <w:proofErr w:type="spellEnd"/>
      <w:r w:rsidRPr="000F72D0">
        <w:rPr>
          <w:lang w:val="ru-RU"/>
        </w:rPr>
        <w:t xml:space="preserve">, </w:t>
      </w:r>
      <w:proofErr w:type="spellStart"/>
      <w:r w:rsidRPr="000F72D0">
        <w:rPr>
          <w:lang w:val="ru-RU"/>
        </w:rPr>
        <w:t>Хотовское</w:t>
      </w:r>
      <w:proofErr w:type="spellEnd"/>
      <w:r w:rsidRPr="000F72D0">
        <w:rPr>
          <w:lang w:val="ru-RU"/>
        </w:rPr>
        <w:t xml:space="preserve"> лесничества и лесопункт. Лесхоз расположен в западной части Минской области на территории Столбцовского административного района. Общая п</w:t>
      </w:r>
      <w:r>
        <w:rPr>
          <w:lang w:val="ru-RU"/>
        </w:rPr>
        <w:t xml:space="preserve">лощадь лесхоза составляет </w:t>
      </w:r>
      <w:r w:rsidR="004C6380">
        <w:rPr>
          <w:lang w:val="ru-RU"/>
        </w:rPr>
        <w:t>90 029</w:t>
      </w:r>
      <w:r w:rsidRPr="000F72D0">
        <w:rPr>
          <w:lang w:val="ru-RU"/>
        </w:rPr>
        <w:t xml:space="preserve"> га, в т</w:t>
      </w:r>
      <w:r w:rsidR="004C6380">
        <w:rPr>
          <w:lang w:val="ru-RU"/>
        </w:rPr>
        <w:t xml:space="preserve">ом числе покрытая лесом – 83 005 га. По сравнению с прошлым отчетным </w:t>
      </w:r>
      <w:r w:rsidR="00F46EB1">
        <w:rPr>
          <w:lang w:val="ru-RU"/>
        </w:rPr>
        <w:t xml:space="preserve"> </w:t>
      </w:r>
      <w:r w:rsidR="004C6380">
        <w:rPr>
          <w:lang w:val="ru-RU"/>
        </w:rPr>
        <w:t>периодом общая площадь ресурсной базы увеличилась в связи с принятием зе</w:t>
      </w:r>
      <w:r w:rsidR="00FA77FA">
        <w:rPr>
          <w:lang w:val="ru-RU"/>
        </w:rPr>
        <w:t>мель</w:t>
      </w:r>
      <w:r w:rsidR="00F46EB1">
        <w:rPr>
          <w:lang w:val="ru-RU"/>
        </w:rPr>
        <w:t>,</w:t>
      </w:r>
      <w:r w:rsidR="00FA77FA">
        <w:rPr>
          <w:lang w:val="ru-RU"/>
        </w:rPr>
        <w:t xml:space="preserve"> находившихся ранее в </w:t>
      </w:r>
      <w:proofErr w:type="spellStart"/>
      <w:r w:rsidR="00FA77FA">
        <w:rPr>
          <w:lang w:val="ru-RU"/>
        </w:rPr>
        <w:t>сельхозпользовании</w:t>
      </w:r>
      <w:proofErr w:type="spellEnd"/>
      <w:r w:rsidR="00F46EB1">
        <w:rPr>
          <w:lang w:val="ru-RU"/>
        </w:rPr>
        <w:t>, в лесной фонд.</w:t>
      </w:r>
    </w:p>
    <w:p w:rsidR="000F72D0" w:rsidRPr="000F72D0" w:rsidRDefault="000F72D0" w:rsidP="000F72D0">
      <w:pPr>
        <w:widowControl w:val="0"/>
        <w:jc w:val="both"/>
        <w:rPr>
          <w:lang w:val="ru-RU"/>
        </w:rPr>
      </w:pPr>
      <w:r w:rsidRPr="000F72D0">
        <w:rPr>
          <w:lang w:val="ru-RU"/>
        </w:rPr>
        <w:t xml:space="preserve">Распределение </w:t>
      </w:r>
      <w:r w:rsidR="00FA77FA">
        <w:rPr>
          <w:lang w:val="ru-RU"/>
        </w:rPr>
        <w:t>по группам леса: 1-я группа 73,6%. 2-я группа 26,4</w:t>
      </w:r>
      <w:r w:rsidRPr="000F72D0">
        <w:rPr>
          <w:lang w:val="ru-RU"/>
        </w:rPr>
        <w:t>%. Распределение по гр</w:t>
      </w:r>
      <w:r w:rsidR="00FA77FA">
        <w:rPr>
          <w:lang w:val="ru-RU"/>
        </w:rPr>
        <w:t>уппам возраста: молодняки – 19,6%, средневозрастные – 55,4%, приспевающие – 20,2</w:t>
      </w:r>
      <w:r w:rsidRPr="000F72D0">
        <w:rPr>
          <w:lang w:val="ru-RU"/>
        </w:rPr>
        <w:t>%, спелые и п</w:t>
      </w:r>
      <w:r w:rsidR="00FA77FA">
        <w:rPr>
          <w:lang w:val="ru-RU"/>
        </w:rPr>
        <w:t xml:space="preserve">ерестойные – 4,8 </w:t>
      </w:r>
      <w:r w:rsidRPr="000F72D0">
        <w:rPr>
          <w:lang w:val="ru-RU"/>
        </w:rPr>
        <w:t>%. Распределение по преоб</w:t>
      </w:r>
      <w:r w:rsidR="00FA77FA">
        <w:rPr>
          <w:lang w:val="ru-RU"/>
        </w:rPr>
        <w:t>ладающим породам: хвойные – 75.6</w:t>
      </w:r>
      <w:r w:rsidRPr="000F72D0">
        <w:rPr>
          <w:lang w:val="ru-RU"/>
        </w:rPr>
        <w:t>%, твердолиствен</w:t>
      </w:r>
      <w:r w:rsidR="00FA77FA">
        <w:rPr>
          <w:lang w:val="ru-RU"/>
        </w:rPr>
        <w:t xml:space="preserve">ные – 0,5%, </w:t>
      </w:r>
      <w:proofErr w:type="spellStart"/>
      <w:r w:rsidR="00FA77FA">
        <w:rPr>
          <w:lang w:val="ru-RU"/>
        </w:rPr>
        <w:t>мягколиственные</w:t>
      </w:r>
      <w:proofErr w:type="spellEnd"/>
      <w:r w:rsidR="00FA77FA">
        <w:rPr>
          <w:lang w:val="ru-RU"/>
        </w:rPr>
        <w:t xml:space="preserve"> – 23,9</w:t>
      </w:r>
      <w:r w:rsidRPr="000F72D0">
        <w:rPr>
          <w:lang w:val="ru-RU"/>
        </w:rPr>
        <w:t xml:space="preserve">%. Средний запас – 220 м3, средний возраст насаждений – 54 лет. </w:t>
      </w:r>
      <w:proofErr w:type="gramStart"/>
      <w:r w:rsidRPr="000F72D0">
        <w:rPr>
          <w:lang w:val="ru-RU"/>
        </w:rPr>
        <w:t xml:space="preserve">Лимит вырубки насаждений, достигших спелости, составляет 67,1 тыс. куб. м., в </w:t>
      </w:r>
      <w:proofErr w:type="spellStart"/>
      <w:r w:rsidRPr="000F72D0">
        <w:rPr>
          <w:lang w:val="ru-RU"/>
        </w:rPr>
        <w:t>т.ч</w:t>
      </w:r>
      <w:proofErr w:type="spellEnd"/>
      <w:r w:rsidRPr="000F72D0">
        <w:rPr>
          <w:lang w:val="ru-RU"/>
        </w:rPr>
        <w:t>. по хвойному хозяйству 34,1 тыс. куб. м. Из них: сосна – 27,7 тыс. м3, ель – 6,4 тыс. м3, осина 3,0 тыс. м3, береза – 11.9 тыс. м3, ольха черная – 18,1 тыс. м3.</w:t>
      </w:r>
      <w:proofErr w:type="gramEnd"/>
      <w:r w:rsidRPr="000F72D0">
        <w:rPr>
          <w:lang w:val="ru-RU"/>
        </w:rPr>
        <w:t xml:space="preserve"> На всех вырубленных площадях весной производится посадка лесных культур или участки оставляются для естественного заращивания. За всеми созданными насаждениями ежегодно проводится уход. </w:t>
      </w:r>
    </w:p>
    <w:p w:rsidR="009919BA" w:rsidRDefault="000F72D0" w:rsidP="000F72D0">
      <w:pPr>
        <w:widowControl w:val="0"/>
        <w:jc w:val="both"/>
        <w:rPr>
          <w:lang w:val="ru-RU"/>
        </w:rPr>
      </w:pPr>
      <w:r w:rsidRPr="000F72D0">
        <w:rPr>
          <w:lang w:val="ru-RU"/>
        </w:rPr>
        <w:t xml:space="preserve">Основной целью ведения лесного хозяйства Государственного лесохозяйственного учреждения «Столбцовский лесхоз» является организация непрерывного, устойчивого, </w:t>
      </w:r>
      <w:proofErr w:type="spellStart"/>
      <w:r w:rsidRPr="000F72D0">
        <w:rPr>
          <w:lang w:val="ru-RU"/>
        </w:rPr>
        <w:t>неистощительного</w:t>
      </w:r>
      <w:proofErr w:type="spellEnd"/>
      <w:r w:rsidRPr="000F72D0">
        <w:rPr>
          <w:lang w:val="ru-RU"/>
        </w:rPr>
        <w:t>, экономически эффективного, многоцелевого, рационального экологически ответственного, социально ориентированного управления лесами и лесопользования для удовлетворения потребностей общества в сырьевых ресурсах леса с учётом сохранения и усиления экологических функций леса и сохранения биологического разнообразия лесных биоценозов.</w:t>
      </w:r>
    </w:p>
    <w:p w:rsidR="000F72D0" w:rsidRDefault="000F72D0" w:rsidP="000F72D0">
      <w:pPr>
        <w:widowControl w:val="0"/>
        <w:jc w:val="both"/>
        <w:rPr>
          <w:lang w:val="ru-RU"/>
        </w:rPr>
      </w:pPr>
      <w:r>
        <w:rPr>
          <w:lang w:val="ru-RU"/>
        </w:rPr>
        <w:t>Для производства пеллет используются опилки от собственного производства (</w:t>
      </w:r>
      <w:r>
        <w:t>SBP</w:t>
      </w:r>
      <w:r w:rsidRPr="000F72D0">
        <w:rPr>
          <w:lang w:val="ru-RU"/>
        </w:rPr>
        <w:t xml:space="preserve"> </w:t>
      </w:r>
      <w:r>
        <w:t>compliant</w:t>
      </w:r>
      <w:r w:rsidRPr="000F72D0">
        <w:rPr>
          <w:lang w:val="ru-RU"/>
        </w:rPr>
        <w:t xml:space="preserve"> </w:t>
      </w:r>
      <w:r>
        <w:t>secondary</w:t>
      </w:r>
      <w:r w:rsidRPr="000F72D0">
        <w:rPr>
          <w:lang w:val="ru-RU"/>
        </w:rPr>
        <w:t xml:space="preserve"> </w:t>
      </w:r>
      <w:r>
        <w:t>feedstock</w:t>
      </w:r>
      <w:r w:rsidRPr="000F72D0">
        <w:rPr>
          <w:lang w:val="ru-RU"/>
        </w:rPr>
        <w:t>)</w:t>
      </w:r>
      <w:r>
        <w:rPr>
          <w:lang w:val="ru-RU"/>
        </w:rPr>
        <w:t xml:space="preserve">, для топки – дрова </w:t>
      </w:r>
      <w:r w:rsidRPr="000F72D0">
        <w:rPr>
          <w:lang w:val="ru-RU"/>
        </w:rPr>
        <w:t>(</w:t>
      </w:r>
      <w:r>
        <w:t>SBP</w:t>
      </w:r>
      <w:r w:rsidRPr="000F72D0">
        <w:rPr>
          <w:lang w:val="ru-RU"/>
        </w:rPr>
        <w:t xml:space="preserve"> </w:t>
      </w:r>
      <w:r>
        <w:t>compliant</w:t>
      </w:r>
      <w:r w:rsidRPr="000F72D0">
        <w:rPr>
          <w:lang w:val="ru-RU"/>
        </w:rPr>
        <w:t xml:space="preserve"> </w:t>
      </w:r>
      <w:r>
        <w:t>primary</w:t>
      </w:r>
      <w:r w:rsidRPr="000F72D0">
        <w:rPr>
          <w:lang w:val="ru-RU"/>
        </w:rPr>
        <w:t xml:space="preserve"> </w:t>
      </w:r>
      <w:r>
        <w:t>feedstock</w:t>
      </w:r>
      <w:r w:rsidRPr="000F72D0">
        <w:rPr>
          <w:lang w:val="ru-RU"/>
        </w:rPr>
        <w:t>),</w:t>
      </w:r>
      <w:r>
        <w:rPr>
          <w:lang w:val="ru-RU"/>
        </w:rPr>
        <w:t xml:space="preserve"> отходы лесопиления.</w:t>
      </w:r>
    </w:p>
    <w:p w:rsidR="00F46EB1" w:rsidRDefault="00F46EB1" w:rsidP="000F72D0">
      <w:pPr>
        <w:widowControl w:val="0"/>
        <w:jc w:val="both"/>
        <w:rPr>
          <w:lang w:val="ru-RU"/>
        </w:rPr>
      </w:pPr>
    </w:p>
    <w:p w:rsidR="00F46EB1" w:rsidRDefault="00F46EB1" w:rsidP="000F72D0">
      <w:pPr>
        <w:widowControl w:val="0"/>
        <w:jc w:val="both"/>
        <w:rPr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4"/>
        <w:gridCol w:w="2571"/>
        <w:gridCol w:w="1564"/>
        <w:gridCol w:w="2795"/>
      </w:tblGrid>
      <w:tr w:rsidR="003C0D23" w:rsidRPr="00BA13CC" w:rsidTr="003C0D23">
        <w:tc>
          <w:tcPr>
            <w:tcW w:w="292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lastRenderedPageBreak/>
              <w:t>SBP группа продукции</w:t>
            </w:r>
          </w:p>
        </w:tc>
        <w:tc>
          <w:tcPr>
            <w:tcW w:w="2571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Процент содержания в общих поставках за отчетный период</w:t>
            </w:r>
          </w:p>
        </w:tc>
        <w:tc>
          <w:tcPr>
            <w:tcW w:w="156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Кол-во поставщиков</w:t>
            </w:r>
          </w:p>
        </w:tc>
        <w:tc>
          <w:tcPr>
            <w:tcW w:w="2795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Породный состав</w:t>
            </w:r>
          </w:p>
        </w:tc>
      </w:tr>
      <w:tr w:rsidR="003C0D23" w:rsidRPr="00BA13CC" w:rsidTr="003C0D23">
        <w:tc>
          <w:tcPr>
            <w:tcW w:w="292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Контролируемое сырьё</w:t>
            </w:r>
          </w:p>
        </w:tc>
        <w:tc>
          <w:tcPr>
            <w:tcW w:w="2571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%</w:t>
            </w:r>
          </w:p>
        </w:tc>
        <w:tc>
          <w:tcPr>
            <w:tcW w:w="156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-</w:t>
            </w:r>
          </w:p>
        </w:tc>
        <w:tc>
          <w:tcPr>
            <w:tcW w:w="2795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-</w:t>
            </w:r>
          </w:p>
        </w:tc>
      </w:tr>
      <w:tr w:rsidR="003C0D23" w:rsidRPr="00BA13CC" w:rsidTr="003C0D23">
        <w:trPr>
          <w:trHeight w:val="401"/>
        </w:trPr>
        <w:tc>
          <w:tcPr>
            <w:tcW w:w="292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SBP-соответствующее первичное сырьё</w:t>
            </w:r>
          </w:p>
        </w:tc>
        <w:tc>
          <w:tcPr>
            <w:tcW w:w="2571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5.6 %</w:t>
            </w:r>
          </w:p>
        </w:tc>
        <w:tc>
          <w:tcPr>
            <w:tcW w:w="156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Собственная заготовка</w:t>
            </w:r>
          </w:p>
        </w:tc>
        <w:tc>
          <w:tcPr>
            <w:tcW w:w="2795" w:type="dxa"/>
            <w:vMerge w:val="restart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rPr>
                <w:i/>
                <w:lang w:val="ru-RU"/>
              </w:rPr>
            </w:pPr>
          </w:p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10% - ель обыкновенная</w:t>
            </w:r>
          </w:p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90% - сосна обыкновенная</w:t>
            </w:r>
          </w:p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</w:p>
        </w:tc>
      </w:tr>
      <w:tr w:rsidR="003C0D23" w:rsidRPr="00BA13CC" w:rsidTr="003C0D23">
        <w:tc>
          <w:tcPr>
            <w:tcW w:w="292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SBP-соответствующее вторичное сырьё</w:t>
            </w:r>
          </w:p>
        </w:tc>
        <w:tc>
          <w:tcPr>
            <w:tcW w:w="2571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94.4 %</w:t>
            </w:r>
          </w:p>
        </w:tc>
        <w:tc>
          <w:tcPr>
            <w:tcW w:w="156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Отходы собственного лесопиления</w:t>
            </w:r>
          </w:p>
        </w:tc>
        <w:tc>
          <w:tcPr>
            <w:tcW w:w="2795" w:type="dxa"/>
            <w:vMerge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</w:p>
        </w:tc>
      </w:tr>
      <w:tr w:rsidR="003C0D23" w:rsidRPr="00BA13CC" w:rsidTr="003C0D23">
        <w:tc>
          <w:tcPr>
            <w:tcW w:w="292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SBP-соответствующее третичное сырьё</w:t>
            </w:r>
          </w:p>
        </w:tc>
        <w:tc>
          <w:tcPr>
            <w:tcW w:w="2571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%</w:t>
            </w:r>
          </w:p>
        </w:tc>
        <w:tc>
          <w:tcPr>
            <w:tcW w:w="156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-</w:t>
            </w:r>
          </w:p>
        </w:tc>
        <w:tc>
          <w:tcPr>
            <w:tcW w:w="2795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-</w:t>
            </w:r>
          </w:p>
        </w:tc>
      </w:tr>
      <w:tr w:rsidR="003C0D23" w:rsidRPr="00BA13CC" w:rsidTr="003C0D23">
        <w:tc>
          <w:tcPr>
            <w:tcW w:w="292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SBP несоответствующее сырьё</w:t>
            </w:r>
          </w:p>
        </w:tc>
        <w:tc>
          <w:tcPr>
            <w:tcW w:w="2571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%</w:t>
            </w:r>
          </w:p>
        </w:tc>
        <w:tc>
          <w:tcPr>
            <w:tcW w:w="1564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-</w:t>
            </w:r>
          </w:p>
        </w:tc>
        <w:tc>
          <w:tcPr>
            <w:tcW w:w="2795" w:type="dxa"/>
          </w:tcPr>
          <w:p w:rsidR="003C0D23" w:rsidRPr="00F46EB1" w:rsidRDefault="003C0D23" w:rsidP="003C0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val="ru-RU"/>
              </w:rPr>
            </w:pPr>
            <w:r w:rsidRPr="00F46EB1">
              <w:rPr>
                <w:i/>
                <w:lang w:val="ru-RU"/>
              </w:rPr>
              <w:t>-</w:t>
            </w:r>
          </w:p>
        </w:tc>
      </w:tr>
    </w:tbl>
    <w:p w:rsidR="003C0D23" w:rsidRPr="000F72D0" w:rsidRDefault="003C0D23" w:rsidP="000F72D0">
      <w:pPr>
        <w:widowControl w:val="0"/>
        <w:jc w:val="both"/>
        <w:rPr>
          <w:lang w:val="ru-RU"/>
        </w:rPr>
      </w:pPr>
    </w:p>
    <w:p w:rsidR="00F5639C" w:rsidRPr="00CE24AA" w:rsidRDefault="00CE24AA" w:rsidP="008B20DC">
      <w:pPr>
        <w:pStyle w:val="2"/>
        <w:spacing w:before="0" w:after="0"/>
        <w:rPr>
          <w:lang w:val="ru-RU"/>
        </w:rPr>
      </w:pPr>
      <w:bookmarkStart w:id="3" w:name="_Toc450721929"/>
      <w:r>
        <w:rPr>
          <w:lang w:val="ru-RU"/>
        </w:rPr>
        <w:t>П</w:t>
      </w:r>
      <w:r w:rsidRPr="00CE24AA">
        <w:rPr>
          <w:lang w:val="ru-RU"/>
        </w:rPr>
        <w:t>редпринятые действия для продвижения сертификации среди поставщиков сырья</w:t>
      </w:r>
      <w:bookmarkEnd w:id="3"/>
    </w:p>
    <w:p w:rsidR="00CE24AA" w:rsidRPr="0076021C" w:rsidRDefault="0076021C" w:rsidP="00FA4B03">
      <w:pPr>
        <w:rPr>
          <w:lang w:val="ru-RU"/>
        </w:rPr>
      </w:pPr>
      <w:r w:rsidRPr="0076021C">
        <w:rPr>
          <w:lang w:val="ru-RU"/>
        </w:rPr>
        <w:t xml:space="preserve">Не применимо. Государственное лесохозяйственное учреждение «Столбцовский лесхоз» использует только </w:t>
      </w:r>
      <w:r w:rsidRPr="0076021C">
        <w:rPr>
          <w:lang w:val="en-US"/>
        </w:rPr>
        <w:t>FSC</w:t>
      </w:r>
      <w:r w:rsidRPr="0076021C">
        <w:rPr>
          <w:lang w:val="ru-RU"/>
        </w:rPr>
        <w:t>-сертифицированную древесину, которая произрастает на территории предприятия.</w:t>
      </w:r>
    </w:p>
    <w:p w:rsidR="00360FA4" w:rsidRPr="00981CD4" w:rsidRDefault="00981CD4" w:rsidP="00360FA4">
      <w:pPr>
        <w:pStyle w:val="2"/>
        <w:rPr>
          <w:lang w:val="ru-RU"/>
        </w:rPr>
      </w:pPr>
      <w:bookmarkStart w:id="4" w:name="_Toc450721930"/>
      <w:r>
        <w:rPr>
          <w:lang w:val="ru-RU"/>
        </w:rPr>
        <w:t>Программа определения доли древесины, полученной от рубок главного пользования</w:t>
      </w:r>
      <w:bookmarkEnd w:id="4"/>
    </w:p>
    <w:p w:rsidR="0076021C" w:rsidRDefault="0076021C" w:rsidP="008B20DC">
      <w:pPr>
        <w:spacing w:after="0"/>
        <w:rPr>
          <w:lang w:val="ru-RU"/>
        </w:rPr>
      </w:pPr>
      <w:r w:rsidRPr="0076021C">
        <w:rPr>
          <w:lang w:val="ru-RU"/>
        </w:rPr>
        <w:t>Государственное лесохозяйственное учреждение «Столбцовский лесхоз» для производства топливных гранул использует только древесные опилки (</w:t>
      </w:r>
      <w:r w:rsidRPr="0076021C">
        <w:rPr>
          <w:lang w:val="en-US"/>
        </w:rPr>
        <w:t>Saw</w:t>
      </w:r>
      <w:r w:rsidRPr="0076021C">
        <w:rPr>
          <w:lang w:val="ru-RU"/>
        </w:rPr>
        <w:t xml:space="preserve"> </w:t>
      </w:r>
      <w:r w:rsidRPr="0076021C">
        <w:rPr>
          <w:lang w:val="en-US"/>
        </w:rPr>
        <w:t>dust</w:t>
      </w:r>
      <w:r w:rsidRPr="0076021C">
        <w:rPr>
          <w:lang w:val="ru-RU"/>
        </w:rPr>
        <w:t>) лесопиления и деревообработки собственного производства.</w:t>
      </w:r>
    </w:p>
    <w:p w:rsidR="0076021C" w:rsidRPr="0076021C" w:rsidRDefault="00827798" w:rsidP="008B20DC">
      <w:pPr>
        <w:spacing w:after="0"/>
        <w:rPr>
          <w:lang w:val="ru-RU"/>
        </w:rPr>
      </w:pPr>
      <w:r>
        <w:rPr>
          <w:lang w:val="ru-RU"/>
        </w:rPr>
        <w:t xml:space="preserve">Для </w:t>
      </w:r>
      <w:proofErr w:type="spellStart"/>
      <w:r>
        <w:rPr>
          <w:lang w:val="ru-RU"/>
        </w:rPr>
        <w:t>теплогенерации</w:t>
      </w:r>
      <w:proofErr w:type="spellEnd"/>
      <w:r>
        <w:rPr>
          <w:lang w:val="ru-RU"/>
        </w:rPr>
        <w:t xml:space="preserve"> используется первичное сырье от сплошных рубок с оборотом рубки 81 год. Однако эти рубки не производятся для целей использования древесины в качестве сырья для производства биомассы.</w:t>
      </w:r>
    </w:p>
    <w:p w:rsidR="00360FA4" w:rsidRPr="00872E2A" w:rsidRDefault="00872E2A" w:rsidP="00872E2A">
      <w:pPr>
        <w:pStyle w:val="2"/>
        <w:rPr>
          <w:lang w:val="ru-RU"/>
        </w:rPr>
      </w:pPr>
      <w:bookmarkStart w:id="5" w:name="_Toc450721931"/>
      <w:r w:rsidRPr="00872E2A">
        <w:rPr>
          <w:lang w:val="ru-RU"/>
        </w:rPr>
        <w:t>Диаграмма потоков входящего сырья с указанием тип</w:t>
      </w:r>
      <w:r w:rsidR="005B1DFF">
        <w:rPr>
          <w:lang w:val="ru-RU"/>
        </w:rPr>
        <w:t>ов</w:t>
      </w:r>
      <w:r w:rsidRPr="00872E2A">
        <w:rPr>
          <w:lang w:val="ru-RU"/>
        </w:rPr>
        <w:t xml:space="preserve"> сырья</w:t>
      </w:r>
      <w:bookmarkEnd w:id="5"/>
      <w:r w:rsidRPr="00872E2A">
        <w:rPr>
          <w:lang w:val="ru-RU"/>
        </w:rPr>
        <w:t xml:space="preserve"> </w:t>
      </w:r>
    </w:p>
    <w:p w:rsidR="00677CD3" w:rsidRPr="00677CD3" w:rsidRDefault="00677CD3" w:rsidP="00FA4B03">
      <w:pPr>
        <w:rPr>
          <w:lang w:val="ru-RU"/>
        </w:rPr>
      </w:pPr>
      <w:r w:rsidRPr="00677CD3">
        <w:rPr>
          <w:lang w:val="ru-RU"/>
        </w:rPr>
        <w:t>Государственное лесохозяйственное учреждение «Столбцовский лесхоз» для производства топливных гранул использует только древесные опилки (</w:t>
      </w:r>
      <w:r w:rsidRPr="00677CD3">
        <w:rPr>
          <w:lang w:val="en-US"/>
        </w:rPr>
        <w:t>Saw</w:t>
      </w:r>
      <w:r w:rsidRPr="00677CD3">
        <w:rPr>
          <w:lang w:val="ru-RU"/>
        </w:rPr>
        <w:t xml:space="preserve"> </w:t>
      </w:r>
      <w:r w:rsidRPr="00677CD3">
        <w:rPr>
          <w:lang w:val="en-US"/>
        </w:rPr>
        <w:t>dust</w:t>
      </w:r>
      <w:r w:rsidRPr="00677CD3">
        <w:rPr>
          <w:lang w:val="ru-RU"/>
        </w:rPr>
        <w:t>) лесопиления и деревообработки собственного производства, полученные из хвойных пород (на основании данных о переработке на ПМУ «Окинчицы»):</w:t>
      </w:r>
    </w:p>
    <w:p w:rsidR="00677CD3" w:rsidRPr="00677CD3" w:rsidRDefault="004B0FB8" w:rsidP="008B20DC">
      <w:pPr>
        <w:spacing w:after="0"/>
        <w:rPr>
          <w:lang w:val="ru-RU"/>
        </w:rPr>
      </w:pPr>
      <w:r>
        <w:rPr>
          <w:lang w:val="ru-RU"/>
        </w:rPr>
        <w:t>- 90</w:t>
      </w:r>
      <w:r w:rsidR="00677CD3" w:rsidRPr="00677CD3">
        <w:rPr>
          <w:lang w:val="ru-RU"/>
        </w:rPr>
        <w:t xml:space="preserve"> % сосна обыкновенная (</w:t>
      </w:r>
      <w:proofErr w:type="spellStart"/>
      <w:r w:rsidR="00677CD3" w:rsidRPr="00677CD3">
        <w:rPr>
          <w:lang w:val="en-US"/>
        </w:rPr>
        <w:t>Pinus</w:t>
      </w:r>
      <w:proofErr w:type="spellEnd"/>
      <w:r w:rsidR="00677CD3" w:rsidRPr="00677CD3">
        <w:rPr>
          <w:lang w:val="ru-RU"/>
        </w:rPr>
        <w:t xml:space="preserve"> </w:t>
      </w:r>
      <w:proofErr w:type="spellStart"/>
      <w:r w:rsidR="00677CD3" w:rsidRPr="00677CD3">
        <w:rPr>
          <w:lang w:val="en-US"/>
        </w:rPr>
        <w:t>sylvestris</w:t>
      </w:r>
      <w:proofErr w:type="spellEnd"/>
      <w:r w:rsidR="00677CD3" w:rsidRPr="00677CD3">
        <w:rPr>
          <w:lang w:val="ru-RU"/>
        </w:rPr>
        <w:t>);</w:t>
      </w:r>
    </w:p>
    <w:p w:rsidR="00677CD3" w:rsidRDefault="004B0FB8" w:rsidP="00FA4B03">
      <w:pPr>
        <w:rPr>
          <w:lang w:val="ru-RU"/>
        </w:rPr>
      </w:pPr>
      <w:r>
        <w:rPr>
          <w:lang w:val="ru-RU"/>
        </w:rPr>
        <w:t>- 10</w:t>
      </w:r>
      <w:r w:rsidR="00677CD3" w:rsidRPr="00677CD3">
        <w:rPr>
          <w:lang w:val="ru-RU"/>
        </w:rPr>
        <w:t>% ель обыкновенная (</w:t>
      </w:r>
      <w:proofErr w:type="spellStart"/>
      <w:r w:rsidR="00677CD3" w:rsidRPr="00677CD3">
        <w:rPr>
          <w:lang w:val="en-US"/>
        </w:rPr>
        <w:t>Picea</w:t>
      </w:r>
      <w:proofErr w:type="spellEnd"/>
      <w:r w:rsidR="00677CD3" w:rsidRPr="00677CD3">
        <w:rPr>
          <w:lang w:val="ru-RU"/>
        </w:rPr>
        <w:t xml:space="preserve"> </w:t>
      </w:r>
      <w:proofErr w:type="spellStart"/>
      <w:r w:rsidR="00677CD3" w:rsidRPr="00677CD3">
        <w:rPr>
          <w:lang w:val="en-US"/>
        </w:rPr>
        <w:t>abies</w:t>
      </w:r>
      <w:proofErr w:type="spellEnd"/>
      <w:r w:rsidR="00677CD3" w:rsidRPr="00677CD3">
        <w:rPr>
          <w:lang w:val="ru-RU"/>
        </w:rPr>
        <w:t>).</w:t>
      </w:r>
    </w:p>
    <w:p w:rsidR="00694124" w:rsidRDefault="00694124" w:rsidP="00FA4B03">
      <w:pPr>
        <w:rPr>
          <w:lang w:val="ru-RU"/>
        </w:rPr>
      </w:pPr>
    </w:p>
    <w:p w:rsidR="00694124" w:rsidRPr="00677CD3" w:rsidRDefault="00694124" w:rsidP="00FA4B03">
      <w:pPr>
        <w:rPr>
          <w:lang w:val="ru-RU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7831"/>
      </w:tblGrid>
      <w:tr w:rsidR="00677CD3" w:rsidRPr="009A741A" w:rsidTr="00FA4B03">
        <w:trPr>
          <w:trHeight w:val="501"/>
        </w:trPr>
        <w:tc>
          <w:tcPr>
            <w:tcW w:w="1456" w:type="dxa"/>
            <w:shd w:val="clear" w:color="auto" w:fill="EFF5F2" w:themeFill="accent1" w:themeFillTint="66"/>
            <w:vAlign w:val="center"/>
          </w:tcPr>
          <w:p w:rsidR="00677CD3" w:rsidRPr="00677CD3" w:rsidRDefault="00677CD3" w:rsidP="00677CD3">
            <w:pPr>
              <w:jc w:val="center"/>
            </w:pPr>
            <w:proofErr w:type="spellStart"/>
            <w:r w:rsidRPr="00677CD3">
              <w:lastRenderedPageBreak/>
              <w:t>Шаг</w:t>
            </w:r>
            <w:proofErr w:type="spellEnd"/>
          </w:p>
        </w:tc>
        <w:tc>
          <w:tcPr>
            <w:tcW w:w="7831" w:type="dxa"/>
            <w:shd w:val="clear" w:color="auto" w:fill="EFF5F2" w:themeFill="accent1" w:themeFillTint="66"/>
            <w:vAlign w:val="center"/>
          </w:tcPr>
          <w:p w:rsidR="00677CD3" w:rsidRPr="00677CD3" w:rsidRDefault="00677CD3" w:rsidP="00677CD3">
            <w:pPr>
              <w:jc w:val="center"/>
              <w:rPr>
                <w:lang w:val="ru-RU"/>
              </w:rPr>
            </w:pPr>
            <w:r w:rsidRPr="00677CD3">
              <w:rPr>
                <w:lang w:val="ru-RU"/>
              </w:rPr>
              <w:t>Описание потока продукта и контрольных точек</w:t>
            </w:r>
          </w:p>
        </w:tc>
      </w:tr>
      <w:tr w:rsidR="00677CD3" w:rsidRPr="009A741A" w:rsidTr="00FA4B03">
        <w:trPr>
          <w:trHeight w:val="889"/>
        </w:trPr>
        <w:tc>
          <w:tcPr>
            <w:tcW w:w="1456" w:type="dxa"/>
            <w:shd w:val="clear" w:color="auto" w:fill="EFF5F2" w:themeFill="accent1" w:themeFillTint="66"/>
            <w:vAlign w:val="center"/>
          </w:tcPr>
          <w:p w:rsidR="00677CD3" w:rsidRPr="00677CD3" w:rsidRDefault="00677CD3" w:rsidP="00677CD3">
            <w:pPr>
              <w:jc w:val="center"/>
            </w:pPr>
            <w:r w:rsidRPr="00677CD3">
              <w:t>1</w:t>
            </w:r>
          </w:p>
        </w:tc>
        <w:tc>
          <w:tcPr>
            <w:tcW w:w="7831" w:type="dxa"/>
            <w:vAlign w:val="center"/>
          </w:tcPr>
          <w:p w:rsidR="00677CD3" w:rsidRPr="00677CD3" w:rsidRDefault="00677CD3" w:rsidP="00677CD3">
            <w:pPr>
              <w:jc w:val="center"/>
              <w:rPr>
                <w:lang w:val="ru-RU"/>
              </w:rPr>
            </w:pPr>
            <w:r w:rsidRPr="00677CD3">
              <w:rPr>
                <w:lang w:val="ru-RU"/>
              </w:rPr>
              <w:t xml:space="preserve">Осуществление лесохозяйственной деятельности на собственной территории 100% </w:t>
            </w:r>
            <w:r w:rsidRPr="00677CD3">
              <w:rPr>
                <w:lang w:val="en-US"/>
              </w:rPr>
              <w:t>FSC</w:t>
            </w:r>
            <w:r w:rsidRPr="00677CD3">
              <w:rPr>
                <w:lang w:val="ru-RU"/>
              </w:rPr>
              <w:t>-сертифицированной</w:t>
            </w:r>
          </w:p>
        </w:tc>
      </w:tr>
      <w:tr w:rsidR="00677CD3" w:rsidRPr="009A741A" w:rsidTr="00FA4B03">
        <w:trPr>
          <w:trHeight w:val="713"/>
        </w:trPr>
        <w:tc>
          <w:tcPr>
            <w:tcW w:w="1456" w:type="dxa"/>
            <w:shd w:val="clear" w:color="auto" w:fill="EFF5F2" w:themeFill="accent1" w:themeFillTint="66"/>
            <w:vAlign w:val="center"/>
          </w:tcPr>
          <w:p w:rsidR="00677CD3" w:rsidRPr="00677CD3" w:rsidRDefault="00677CD3" w:rsidP="00677CD3">
            <w:pPr>
              <w:jc w:val="center"/>
            </w:pPr>
            <w:r w:rsidRPr="00677CD3">
              <w:t>2</w:t>
            </w:r>
          </w:p>
        </w:tc>
        <w:tc>
          <w:tcPr>
            <w:tcW w:w="7831" w:type="dxa"/>
            <w:vAlign w:val="center"/>
          </w:tcPr>
          <w:p w:rsidR="00677CD3" w:rsidRPr="00677CD3" w:rsidRDefault="00677CD3" w:rsidP="00677CD3">
            <w:pPr>
              <w:jc w:val="center"/>
              <w:rPr>
                <w:lang w:val="ru-RU"/>
              </w:rPr>
            </w:pPr>
            <w:r w:rsidRPr="00677CD3">
              <w:rPr>
                <w:lang w:val="ru-RU"/>
              </w:rPr>
              <w:t>Производство распиленной древесины на собственном участке ПМУ «Окинчицы»</w:t>
            </w:r>
          </w:p>
        </w:tc>
      </w:tr>
      <w:tr w:rsidR="00677CD3" w:rsidRPr="009A741A" w:rsidTr="00FA4B03">
        <w:trPr>
          <w:trHeight w:val="772"/>
        </w:trPr>
        <w:tc>
          <w:tcPr>
            <w:tcW w:w="1456" w:type="dxa"/>
            <w:shd w:val="clear" w:color="auto" w:fill="EFF5F2" w:themeFill="accent1" w:themeFillTint="66"/>
            <w:vAlign w:val="center"/>
          </w:tcPr>
          <w:p w:rsidR="00677CD3" w:rsidRPr="00677CD3" w:rsidRDefault="00677CD3" w:rsidP="00677CD3">
            <w:pPr>
              <w:jc w:val="center"/>
            </w:pPr>
            <w:r w:rsidRPr="00677CD3">
              <w:t>3</w:t>
            </w:r>
          </w:p>
        </w:tc>
        <w:tc>
          <w:tcPr>
            <w:tcW w:w="7831" w:type="dxa"/>
            <w:vAlign w:val="center"/>
          </w:tcPr>
          <w:p w:rsidR="00677CD3" w:rsidRPr="00677CD3" w:rsidRDefault="00677CD3" w:rsidP="00677CD3">
            <w:pPr>
              <w:jc w:val="center"/>
              <w:rPr>
                <w:lang w:val="ru-RU"/>
              </w:rPr>
            </w:pPr>
            <w:r w:rsidRPr="00677CD3">
              <w:rPr>
                <w:lang w:val="ru-RU"/>
              </w:rPr>
              <w:t>Производство топливных гранул из опилок лесопиления на ПМУ «Окинчицы»</w:t>
            </w:r>
          </w:p>
        </w:tc>
      </w:tr>
      <w:tr w:rsidR="00677CD3" w:rsidRPr="009A741A" w:rsidTr="00FA4B03">
        <w:trPr>
          <w:trHeight w:val="697"/>
        </w:trPr>
        <w:tc>
          <w:tcPr>
            <w:tcW w:w="1456" w:type="dxa"/>
            <w:shd w:val="clear" w:color="auto" w:fill="EFF5F2" w:themeFill="accent1" w:themeFillTint="66"/>
            <w:vAlign w:val="center"/>
          </w:tcPr>
          <w:p w:rsidR="00677CD3" w:rsidRPr="00677CD3" w:rsidRDefault="00677CD3" w:rsidP="00677CD3">
            <w:pPr>
              <w:jc w:val="center"/>
            </w:pPr>
            <w:r w:rsidRPr="00677CD3">
              <w:t>4</w:t>
            </w:r>
          </w:p>
        </w:tc>
        <w:tc>
          <w:tcPr>
            <w:tcW w:w="7831" w:type="dxa"/>
            <w:vAlign w:val="center"/>
          </w:tcPr>
          <w:p w:rsidR="00677CD3" w:rsidRPr="00677CD3" w:rsidRDefault="00D2065B" w:rsidP="00D206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Транспортные средства (электро</w:t>
            </w:r>
            <w:r w:rsidR="00677CD3" w:rsidRPr="00677CD3">
              <w:rPr>
                <w:lang w:val="ru-RU"/>
              </w:rPr>
              <w:t>поезд</w:t>
            </w:r>
            <w:r w:rsidR="00510492" w:rsidRPr="00510492">
              <w:rPr>
                <w:lang w:val="ru-RU"/>
              </w:rPr>
              <w:t xml:space="preserve"> </w:t>
            </w:r>
            <w:r w:rsidR="00510492">
              <w:rPr>
                <w:lang w:val="ru-RU"/>
              </w:rPr>
              <w:t>и тепловоз</w:t>
            </w:r>
            <w:r w:rsidR="00677CD3" w:rsidRPr="00677CD3">
              <w:rPr>
                <w:lang w:val="ru-RU"/>
              </w:rPr>
              <w:t>) до границы с Латвией</w:t>
            </w:r>
          </w:p>
        </w:tc>
      </w:tr>
    </w:tbl>
    <w:p w:rsidR="009D0455" w:rsidRDefault="009D0455" w:rsidP="009D0455">
      <w:pPr>
        <w:rPr>
          <w:lang w:val="ru-RU"/>
        </w:rPr>
      </w:pPr>
    </w:p>
    <w:p w:rsidR="00AE2996" w:rsidRDefault="00AE2996" w:rsidP="009D0455">
      <w:pPr>
        <w:rPr>
          <w:lang w:val="ru-RU"/>
        </w:rPr>
      </w:pPr>
      <w:r w:rsidRPr="00AE2996">
        <w:rPr>
          <w:noProof/>
          <w:lang w:val="ru-RU" w:eastAsia="ru-RU"/>
        </w:rPr>
        <w:drawing>
          <wp:inline distT="0" distB="0" distL="0" distR="0">
            <wp:extent cx="5455474" cy="2826327"/>
            <wp:effectExtent l="19050" t="0" r="11876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2996" w:rsidRPr="009D0455" w:rsidRDefault="00AE2996" w:rsidP="009D0455">
      <w:pPr>
        <w:rPr>
          <w:lang w:val="ru-RU"/>
        </w:rPr>
      </w:pPr>
    </w:p>
    <w:p w:rsidR="00360FA4" w:rsidRPr="00872E2A" w:rsidRDefault="00872E2A" w:rsidP="00FA4B03">
      <w:pPr>
        <w:pStyle w:val="2"/>
        <w:ind w:left="0" w:firstLine="0"/>
        <w:rPr>
          <w:lang w:val="ru-RU"/>
        </w:rPr>
      </w:pPr>
      <w:bookmarkStart w:id="6" w:name="_Toc450721932"/>
      <w:r w:rsidRPr="00872E2A">
        <w:rPr>
          <w:lang w:val="ru-RU"/>
        </w:rPr>
        <w:t>Количественное определение ресурсной базы</w:t>
      </w:r>
      <w:bookmarkEnd w:id="6"/>
    </w:p>
    <w:p w:rsidR="009907B9" w:rsidRPr="009907B9" w:rsidRDefault="009907B9" w:rsidP="00FA4B03">
      <w:pPr>
        <w:outlineLvl w:val="0"/>
        <w:rPr>
          <w:color w:val="00B050"/>
        </w:rPr>
      </w:pPr>
      <w:bookmarkStart w:id="7" w:name="_Toc450721933"/>
      <w:proofErr w:type="spellStart"/>
      <w:r w:rsidRPr="009907B9">
        <w:rPr>
          <w:color w:val="00B050"/>
        </w:rPr>
        <w:t>Ресурсная</w:t>
      </w:r>
      <w:proofErr w:type="spellEnd"/>
      <w:r w:rsidRPr="009907B9">
        <w:rPr>
          <w:color w:val="00B050"/>
        </w:rPr>
        <w:t xml:space="preserve"> </w:t>
      </w:r>
      <w:proofErr w:type="spellStart"/>
      <w:r w:rsidRPr="009907B9">
        <w:rPr>
          <w:color w:val="00B050"/>
        </w:rPr>
        <w:t>база</w:t>
      </w:r>
      <w:bookmarkEnd w:id="7"/>
      <w:proofErr w:type="spellEnd"/>
    </w:p>
    <w:p w:rsidR="009907B9" w:rsidRPr="009907B9" w:rsidRDefault="009907B9" w:rsidP="00A835BA">
      <w:pPr>
        <w:tabs>
          <w:tab w:val="left" w:pos="4253"/>
        </w:tabs>
        <w:rPr>
          <w:lang w:val="ru-RU"/>
        </w:rPr>
      </w:pPr>
      <w:proofErr w:type="gramStart"/>
      <w:r w:rsidRPr="009907B9">
        <w:rPr>
          <w:lang w:val="en-US"/>
        </w:rPr>
        <w:t>a</w:t>
      </w:r>
      <w:proofErr w:type="gramEnd"/>
      <w:r w:rsidRPr="009907B9">
        <w:rPr>
          <w:lang w:val="ru-RU"/>
        </w:rPr>
        <w:t>. Общая площ</w:t>
      </w:r>
      <w:r w:rsidR="00694124">
        <w:rPr>
          <w:lang w:val="ru-RU"/>
        </w:rPr>
        <w:t>адь ресурсной базы (га):</w:t>
      </w:r>
      <w:r w:rsidR="00694124">
        <w:rPr>
          <w:lang w:val="ru-RU"/>
        </w:rPr>
        <w:tab/>
      </w:r>
      <w:r w:rsidR="00694124">
        <w:rPr>
          <w:lang w:val="ru-RU"/>
        </w:rPr>
        <w:tab/>
      </w:r>
      <w:r w:rsidR="00AE2996">
        <w:rPr>
          <w:lang w:val="ru-RU"/>
        </w:rPr>
        <w:t>90.029</w:t>
      </w:r>
      <w:r w:rsidR="00694124">
        <w:rPr>
          <w:lang w:val="ru-RU"/>
        </w:rPr>
        <w:t xml:space="preserve"> </w:t>
      </w:r>
      <w:r w:rsidR="001B4337">
        <w:rPr>
          <w:lang w:val="ru-RU"/>
        </w:rPr>
        <w:t>га</w:t>
      </w:r>
    </w:p>
    <w:p w:rsidR="009907B9" w:rsidRPr="008B20DC" w:rsidRDefault="009907B9" w:rsidP="00694124">
      <w:pPr>
        <w:tabs>
          <w:tab w:val="left" w:pos="4111"/>
          <w:tab w:val="left" w:pos="4253"/>
        </w:tabs>
        <w:rPr>
          <w:lang w:val="ru-RU"/>
        </w:rPr>
      </w:pPr>
      <w:proofErr w:type="gramStart"/>
      <w:r w:rsidRPr="009907B9">
        <w:rPr>
          <w:lang w:val="en-US"/>
        </w:rPr>
        <w:t>b</w:t>
      </w:r>
      <w:proofErr w:type="gramEnd"/>
      <w:r w:rsidRPr="009907B9">
        <w:rPr>
          <w:lang w:val="ru-RU"/>
        </w:rPr>
        <w:t>. Условия владения по типам (</w:t>
      </w:r>
      <w:r w:rsidR="001B4337">
        <w:rPr>
          <w:lang w:val="ru-RU"/>
        </w:rPr>
        <w:t>г</w:t>
      </w:r>
      <w:r w:rsidRPr="009907B9">
        <w:rPr>
          <w:lang w:val="en-US"/>
        </w:rPr>
        <w:t>a</w:t>
      </w:r>
      <w:r w:rsidR="00694124">
        <w:rPr>
          <w:lang w:val="ru-RU"/>
        </w:rPr>
        <w:t>):</w:t>
      </w:r>
      <w:r w:rsidR="00694124">
        <w:rPr>
          <w:lang w:val="ru-RU"/>
        </w:rPr>
        <w:tab/>
      </w:r>
      <w:r w:rsidR="00694124">
        <w:rPr>
          <w:lang w:val="ru-RU"/>
        </w:rPr>
        <w:tab/>
      </w:r>
      <w:r w:rsidR="00694124">
        <w:rPr>
          <w:lang w:val="ru-RU"/>
        </w:rPr>
        <w:tab/>
      </w:r>
      <w:r w:rsidR="001B4337">
        <w:rPr>
          <w:lang w:val="ru-RU"/>
        </w:rPr>
        <w:t>90 029 га</w:t>
      </w:r>
      <w:r w:rsidRPr="009907B9">
        <w:rPr>
          <w:lang w:val="ru-RU"/>
        </w:rPr>
        <w:t xml:space="preserve"> государств</w:t>
      </w:r>
      <w:r w:rsidR="00694124">
        <w:rPr>
          <w:lang w:val="ru-RU"/>
        </w:rPr>
        <w:t>енная</w:t>
      </w:r>
      <w:r w:rsidRPr="009907B9">
        <w:rPr>
          <w:lang w:val="ru-RU"/>
        </w:rPr>
        <w:t xml:space="preserve"> </w:t>
      </w:r>
      <w:r w:rsidR="00694124">
        <w:rPr>
          <w:lang w:val="ru-RU"/>
        </w:rPr>
        <w:t xml:space="preserve"> </w:t>
      </w:r>
      <w:r w:rsidRPr="008B20DC">
        <w:rPr>
          <w:lang w:val="ru-RU"/>
        </w:rPr>
        <w:t>собственность РБ</w:t>
      </w:r>
    </w:p>
    <w:p w:rsidR="009907B9" w:rsidRPr="008B20DC" w:rsidRDefault="009907B9" w:rsidP="00FA4B03">
      <w:pPr>
        <w:rPr>
          <w:lang w:val="ru-RU"/>
        </w:rPr>
      </w:pPr>
      <w:proofErr w:type="gramStart"/>
      <w:r w:rsidRPr="008B20DC">
        <w:rPr>
          <w:lang w:val="en-US"/>
        </w:rPr>
        <w:t>c</w:t>
      </w:r>
      <w:proofErr w:type="gramEnd"/>
      <w:r w:rsidR="00694124">
        <w:rPr>
          <w:lang w:val="ru-RU"/>
        </w:rPr>
        <w:t>. Лес по типам (га):</w:t>
      </w:r>
      <w:r w:rsidR="00694124">
        <w:rPr>
          <w:lang w:val="ru-RU"/>
        </w:rPr>
        <w:tab/>
      </w:r>
      <w:r w:rsidR="00694124">
        <w:rPr>
          <w:lang w:val="ru-RU"/>
        </w:rPr>
        <w:tab/>
      </w:r>
      <w:r w:rsidR="00694124">
        <w:rPr>
          <w:lang w:val="ru-RU"/>
        </w:rPr>
        <w:tab/>
      </w:r>
      <w:r w:rsidR="00694124">
        <w:rPr>
          <w:lang w:val="ru-RU"/>
        </w:rPr>
        <w:tab/>
        <w:t>90 029 га</w:t>
      </w:r>
      <w:r w:rsidR="00694124" w:rsidRPr="008B20DC">
        <w:rPr>
          <w:lang w:val="ru-RU"/>
        </w:rPr>
        <w:t xml:space="preserve"> </w:t>
      </w:r>
      <w:r w:rsidRPr="008B20DC">
        <w:rPr>
          <w:lang w:val="ru-RU"/>
        </w:rPr>
        <w:t>Умеренные</w:t>
      </w:r>
    </w:p>
    <w:p w:rsidR="009907B9" w:rsidRPr="008B20DC" w:rsidRDefault="009907B9" w:rsidP="00FA4B03">
      <w:pPr>
        <w:rPr>
          <w:lang w:val="ru-RU"/>
        </w:rPr>
      </w:pPr>
      <w:proofErr w:type="gramStart"/>
      <w:r w:rsidRPr="008B20DC">
        <w:rPr>
          <w:lang w:val="en-US"/>
        </w:rPr>
        <w:t>d</w:t>
      </w:r>
      <w:proofErr w:type="gramEnd"/>
      <w:r w:rsidRPr="008B20DC">
        <w:rPr>
          <w:lang w:val="ru-RU"/>
        </w:rPr>
        <w:t xml:space="preserve">. Лес по типу лесоуправления (га)                  </w:t>
      </w:r>
      <w:r w:rsidR="00694124">
        <w:rPr>
          <w:lang w:val="ru-RU"/>
        </w:rPr>
        <w:tab/>
        <w:t>90 029 га</w:t>
      </w:r>
      <w:r w:rsidR="00694124" w:rsidRPr="008B20DC">
        <w:rPr>
          <w:lang w:val="ru-RU"/>
        </w:rPr>
        <w:t xml:space="preserve"> </w:t>
      </w:r>
      <w:r w:rsidRPr="008B20DC">
        <w:rPr>
          <w:lang w:val="ru-RU"/>
        </w:rPr>
        <w:t>Управляемые естественные</w:t>
      </w:r>
    </w:p>
    <w:p w:rsidR="009907B9" w:rsidRPr="00437E4D" w:rsidRDefault="009907B9" w:rsidP="00AE2996">
      <w:pPr>
        <w:rPr>
          <w:lang w:val="ru-RU"/>
        </w:rPr>
      </w:pPr>
      <w:proofErr w:type="gramStart"/>
      <w:r w:rsidRPr="008B20DC">
        <w:rPr>
          <w:lang w:val="en-US"/>
        </w:rPr>
        <w:t>e</w:t>
      </w:r>
      <w:proofErr w:type="gramEnd"/>
      <w:r w:rsidRPr="008B20DC">
        <w:rPr>
          <w:lang w:val="ru-RU"/>
        </w:rPr>
        <w:t xml:space="preserve">. Сертифицированные леса по схемам (га)   </w:t>
      </w:r>
      <w:r w:rsidR="00694124">
        <w:rPr>
          <w:lang w:val="ru-RU"/>
        </w:rPr>
        <w:t>90 029 га</w:t>
      </w:r>
      <w:r w:rsidR="00694124" w:rsidRPr="00694124">
        <w:rPr>
          <w:lang w:val="ru-RU"/>
        </w:rPr>
        <w:t xml:space="preserve"> </w:t>
      </w:r>
      <w:r w:rsidR="00437E4D">
        <w:t>FSC</w:t>
      </w:r>
      <w:r w:rsidR="00437E4D" w:rsidRPr="00437E4D">
        <w:rPr>
          <w:lang w:val="ru-RU"/>
        </w:rPr>
        <w:t xml:space="preserve"> </w:t>
      </w:r>
    </w:p>
    <w:p w:rsidR="00437E4D" w:rsidRPr="00A4191C" w:rsidRDefault="00437E4D" w:rsidP="00FA4B03">
      <w:pPr>
        <w:rPr>
          <w:lang w:val="ru-RU"/>
        </w:rPr>
      </w:pPr>
      <w:r w:rsidRPr="00A4191C">
        <w:rPr>
          <w:lang w:val="ru-RU"/>
        </w:rPr>
        <w:t xml:space="preserve">                                                                             </w:t>
      </w:r>
      <w:r w:rsidR="00694124">
        <w:rPr>
          <w:lang w:val="ru-RU"/>
        </w:rPr>
        <w:t>90 029 га</w:t>
      </w:r>
      <w:r w:rsidR="00694124" w:rsidRPr="00215AE6">
        <w:rPr>
          <w:lang w:val="ru-RU"/>
        </w:rPr>
        <w:t xml:space="preserve"> </w:t>
      </w:r>
      <w:r>
        <w:t>PEFC</w:t>
      </w:r>
      <w:r w:rsidRPr="00A4191C">
        <w:rPr>
          <w:lang w:val="ru-RU"/>
        </w:rPr>
        <w:t xml:space="preserve"> </w:t>
      </w:r>
    </w:p>
    <w:p w:rsidR="009907B9" w:rsidRPr="009907B9" w:rsidRDefault="009907B9" w:rsidP="00FA4B03">
      <w:pPr>
        <w:outlineLvl w:val="0"/>
        <w:rPr>
          <w:color w:val="00B050"/>
          <w:lang w:val="ru-RU"/>
        </w:rPr>
      </w:pPr>
      <w:bookmarkStart w:id="8" w:name="_Toc450721934"/>
      <w:r w:rsidRPr="009907B9">
        <w:rPr>
          <w:color w:val="00B050"/>
          <w:lang w:val="ru-RU"/>
        </w:rPr>
        <w:lastRenderedPageBreak/>
        <w:t>Сырье</w:t>
      </w:r>
      <w:bookmarkEnd w:id="8"/>
    </w:p>
    <w:p w:rsidR="009907B9" w:rsidRPr="009907B9" w:rsidRDefault="009907B9" w:rsidP="00FA4B03">
      <w:pPr>
        <w:rPr>
          <w:lang w:val="ru-RU"/>
        </w:rPr>
      </w:pPr>
      <w:proofErr w:type="gramStart"/>
      <w:r w:rsidRPr="009907B9">
        <w:rPr>
          <w:lang w:val="en-US"/>
        </w:rPr>
        <w:t>f</w:t>
      </w:r>
      <w:proofErr w:type="gramEnd"/>
      <w:r w:rsidRPr="009907B9">
        <w:rPr>
          <w:lang w:val="ru-RU"/>
        </w:rPr>
        <w:t xml:space="preserve">. Общий объем сырья                                       </w:t>
      </w:r>
      <w:r w:rsidR="009A741A">
        <w:rPr>
          <w:color w:val="000000" w:themeColor="text1"/>
          <w:lang w:val="ru-RU"/>
        </w:rPr>
        <w:t>7183,99</w:t>
      </w:r>
      <w:r w:rsidR="00215AE6">
        <w:rPr>
          <w:lang w:val="ru-RU"/>
        </w:rPr>
        <w:t xml:space="preserve"> </w:t>
      </w:r>
      <w:r w:rsidR="00215AE6" w:rsidRPr="00597F6A">
        <w:rPr>
          <w:lang w:val="ru-RU"/>
        </w:rPr>
        <w:t>м</w:t>
      </w:r>
      <w:r w:rsidR="00215AE6" w:rsidRPr="00597F6A">
        <w:rPr>
          <w:vertAlign w:val="superscript"/>
          <w:lang w:val="ru-RU"/>
        </w:rPr>
        <w:t>3</w:t>
      </w:r>
      <w:r w:rsidR="00215AE6" w:rsidRPr="00597F6A">
        <w:rPr>
          <w:lang w:val="ru-RU"/>
        </w:rPr>
        <w:t xml:space="preserve"> </w:t>
      </w:r>
      <w:r w:rsidR="00215AE6">
        <w:rPr>
          <w:lang w:val="ru-RU"/>
        </w:rPr>
        <w:t>в</w:t>
      </w:r>
      <w:r w:rsidR="00215AE6">
        <w:rPr>
          <w:sz w:val="22"/>
          <w:szCs w:val="22"/>
          <w:lang w:val="ru-RU"/>
        </w:rPr>
        <w:t xml:space="preserve"> </w:t>
      </w:r>
      <w:r w:rsidRPr="009907B9">
        <w:rPr>
          <w:lang w:val="ru-RU"/>
        </w:rPr>
        <w:t>год</w:t>
      </w:r>
    </w:p>
    <w:p w:rsidR="009907B9" w:rsidRPr="00A4191C" w:rsidRDefault="009907B9" w:rsidP="00FA4B03">
      <w:pPr>
        <w:rPr>
          <w:lang w:val="ru-RU"/>
        </w:rPr>
      </w:pPr>
      <w:proofErr w:type="gramStart"/>
      <w:r w:rsidRPr="009907B9">
        <w:rPr>
          <w:lang w:val="en-US"/>
        </w:rPr>
        <w:t>g</w:t>
      </w:r>
      <w:proofErr w:type="gramEnd"/>
      <w:r w:rsidRPr="009907B9">
        <w:rPr>
          <w:lang w:val="ru-RU"/>
        </w:rPr>
        <w:t xml:space="preserve">. Объем первичного сырья                              </w:t>
      </w:r>
      <w:r w:rsidR="009A741A">
        <w:rPr>
          <w:lang w:val="ru-RU"/>
        </w:rPr>
        <w:t>не применимо</w:t>
      </w:r>
    </w:p>
    <w:p w:rsidR="009907B9" w:rsidRPr="009907B9" w:rsidRDefault="009907B9" w:rsidP="00FA4B03">
      <w:pPr>
        <w:rPr>
          <w:lang w:val="ru-RU"/>
        </w:rPr>
      </w:pPr>
      <w:proofErr w:type="gramStart"/>
      <w:r w:rsidRPr="009907B9">
        <w:t>h</w:t>
      </w:r>
      <w:proofErr w:type="gramEnd"/>
      <w:r w:rsidRPr="009907B9">
        <w:rPr>
          <w:lang w:val="ru-RU"/>
        </w:rPr>
        <w:t>. Перечислите процент содержания первичного сырья (</w:t>
      </w:r>
      <w:r w:rsidRPr="009907B9">
        <w:t>g</w:t>
      </w:r>
      <w:r w:rsidRPr="009907B9">
        <w:rPr>
          <w:lang w:val="ru-RU"/>
        </w:rPr>
        <w:t>), по следующим категориям.</w:t>
      </w:r>
    </w:p>
    <w:p w:rsidR="00FC044F" w:rsidRPr="008B20DC" w:rsidRDefault="00FC044F" w:rsidP="00FC044F">
      <w:pPr>
        <w:pStyle w:val="a"/>
        <w:numPr>
          <w:ilvl w:val="0"/>
          <w:numId w:val="0"/>
        </w:numPr>
        <w:ind w:left="360"/>
        <w:rPr>
          <w:lang w:val="ru-RU"/>
        </w:rPr>
      </w:pPr>
      <w:r w:rsidRPr="008B20DC">
        <w:rPr>
          <w:lang w:val="ru-RU"/>
        </w:rPr>
        <w:t xml:space="preserve">Подразделите по </w:t>
      </w:r>
      <w:r w:rsidRPr="008B20DC">
        <w:t>SBP</w:t>
      </w:r>
      <w:r w:rsidRPr="008B20DC">
        <w:rPr>
          <w:lang w:val="ru-RU"/>
        </w:rPr>
        <w:t>-утверждённой схеме лесоуправления</w:t>
      </w:r>
    </w:p>
    <w:p w:rsidR="00FC044F" w:rsidRPr="008B20DC" w:rsidRDefault="00FC044F" w:rsidP="00FC044F">
      <w:pPr>
        <w:pStyle w:val="a"/>
        <w:numPr>
          <w:ilvl w:val="1"/>
          <w:numId w:val="14"/>
        </w:numPr>
        <w:rPr>
          <w:lang w:val="ru-RU"/>
        </w:rPr>
      </w:pPr>
      <w:r w:rsidRPr="008B20DC">
        <w:rPr>
          <w:lang w:val="ru-RU"/>
        </w:rPr>
        <w:t xml:space="preserve">Сертифицированные по </w:t>
      </w:r>
      <w:r w:rsidRPr="008B20DC">
        <w:t>SBP</w:t>
      </w:r>
      <w:r w:rsidRPr="008B20DC">
        <w:rPr>
          <w:lang w:val="ru-RU"/>
        </w:rPr>
        <w:t xml:space="preserve">-утвержденной схеме лесоуправления </w:t>
      </w:r>
      <w:r w:rsidR="00A4191C">
        <w:rPr>
          <w:lang w:val="ru-RU"/>
        </w:rPr>
        <w:t xml:space="preserve">– </w:t>
      </w:r>
      <w:r w:rsidR="001B4337">
        <w:rPr>
          <w:lang w:val="ru-RU"/>
        </w:rPr>
        <w:t>100</w:t>
      </w:r>
      <w:r w:rsidR="001B4337" w:rsidRPr="00A4191C">
        <w:rPr>
          <w:lang w:val="ru-RU"/>
        </w:rPr>
        <w:t xml:space="preserve">% </w:t>
      </w:r>
      <w:r w:rsidR="001B4337">
        <w:rPr>
          <w:lang w:val="ru-RU"/>
        </w:rPr>
        <w:t xml:space="preserve"> </w:t>
      </w:r>
      <w:r w:rsidR="00A4191C">
        <w:t>FSC</w:t>
      </w:r>
      <w:r w:rsidR="00A4191C" w:rsidRPr="00A4191C">
        <w:rPr>
          <w:lang w:val="ru-RU"/>
        </w:rPr>
        <w:t xml:space="preserve"> 100% (</w:t>
      </w:r>
      <w:r w:rsidR="001B4337">
        <w:rPr>
          <w:lang w:val="ru-RU"/>
        </w:rPr>
        <w:t>дровяная древесина</w:t>
      </w:r>
      <w:r w:rsidR="00A4191C">
        <w:rPr>
          <w:lang w:val="ru-RU"/>
        </w:rPr>
        <w:t>, в качестве топлива для теплогенератора</w:t>
      </w:r>
      <w:r w:rsidR="00A4191C" w:rsidRPr="00A4191C">
        <w:rPr>
          <w:lang w:val="ru-RU"/>
        </w:rPr>
        <w:t>)</w:t>
      </w:r>
    </w:p>
    <w:p w:rsidR="00FC044F" w:rsidRPr="008B20DC" w:rsidRDefault="00FC044F" w:rsidP="00FC044F">
      <w:pPr>
        <w:pStyle w:val="a"/>
        <w:numPr>
          <w:ilvl w:val="1"/>
          <w:numId w:val="14"/>
        </w:numPr>
        <w:rPr>
          <w:lang w:val="ru-RU"/>
        </w:rPr>
      </w:pPr>
      <w:r w:rsidRPr="008B20DC">
        <w:rPr>
          <w:lang w:val="ru-RU"/>
        </w:rPr>
        <w:t xml:space="preserve">Несертифицированные по </w:t>
      </w:r>
      <w:r w:rsidRPr="008B20DC">
        <w:t>SBP</w:t>
      </w:r>
      <w:r w:rsidRPr="008B20DC">
        <w:rPr>
          <w:lang w:val="ru-RU"/>
        </w:rPr>
        <w:t xml:space="preserve">-утвержденной схеме лесоуправления </w:t>
      </w:r>
      <w:r w:rsidR="00BD5536">
        <w:rPr>
          <w:lang w:val="ru-RU"/>
        </w:rPr>
        <w:t xml:space="preserve"> - 0%</w:t>
      </w:r>
    </w:p>
    <w:p w:rsidR="009907B9" w:rsidRPr="007271EA" w:rsidRDefault="009907B9" w:rsidP="00FA4B03">
      <w:pPr>
        <w:rPr>
          <w:lang w:val="ru-RU"/>
        </w:rPr>
      </w:pPr>
      <w:proofErr w:type="gramStart"/>
      <w:r w:rsidRPr="009907B9">
        <w:t>i</w:t>
      </w:r>
      <w:proofErr w:type="gramEnd"/>
      <w:r w:rsidRPr="009907B9">
        <w:rPr>
          <w:lang w:val="ru-RU"/>
        </w:rPr>
        <w:t>. Перечислите все породы первичного сырья, включая научные названия.</w:t>
      </w:r>
    </w:p>
    <w:p w:rsidR="00A4191C" w:rsidRPr="00677CD3" w:rsidRDefault="00A4191C" w:rsidP="00A4191C">
      <w:pPr>
        <w:spacing w:after="0"/>
        <w:rPr>
          <w:lang w:val="ru-RU"/>
        </w:rPr>
      </w:pPr>
      <w:r w:rsidRPr="00677CD3">
        <w:rPr>
          <w:lang w:val="ru-RU"/>
        </w:rPr>
        <w:t>- сосна обыкновенная (</w:t>
      </w:r>
      <w:proofErr w:type="spellStart"/>
      <w:r w:rsidRPr="00677CD3">
        <w:rPr>
          <w:lang w:val="en-US"/>
        </w:rPr>
        <w:t>Pinus</w:t>
      </w:r>
      <w:proofErr w:type="spellEnd"/>
      <w:r w:rsidRPr="00677CD3">
        <w:rPr>
          <w:lang w:val="ru-RU"/>
        </w:rPr>
        <w:t xml:space="preserve"> </w:t>
      </w:r>
      <w:proofErr w:type="spellStart"/>
      <w:r w:rsidRPr="00677CD3">
        <w:rPr>
          <w:lang w:val="en-US"/>
        </w:rPr>
        <w:t>sylvestris</w:t>
      </w:r>
      <w:proofErr w:type="spellEnd"/>
      <w:r w:rsidRPr="00677CD3">
        <w:rPr>
          <w:lang w:val="ru-RU"/>
        </w:rPr>
        <w:t>);</w:t>
      </w:r>
    </w:p>
    <w:p w:rsidR="00A4191C" w:rsidRPr="00677CD3" w:rsidRDefault="00A4191C" w:rsidP="00A4191C">
      <w:pPr>
        <w:rPr>
          <w:lang w:val="ru-RU"/>
        </w:rPr>
      </w:pPr>
      <w:r w:rsidRPr="00677CD3">
        <w:rPr>
          <w:lang w:val="ru-RU"/>
        </w:rPr>
        <w:t>- ель обыкновенная (</w:t>
      </w:r>
      <w:proofErr w:type="spellStart"/>
      <w:r w:rsidRPr="00677CD3">
        <w:rPr>
          <w:lang w:val="en-US"/>
        </w:rPr>
        <w:t>Picea</w:t>
      </w:r>
      <w:proofErr w:type="spellEnd"/>
      <w:r w:rsidRPr="00677CD3">
        <w:rPr>
          <w:lang w:val="ru-RU"/>
        </w:rPr>
        <w:t xml:space="preserve"> </w:t>
      </w:r>
      <w:proofErr w:type="spellStart"/>
      <w:r w:rsidRPr="00677CD3">
        <w:rPr>
          <w:lang w:val="en-US"/>
        </w:rPr>
        <w:t>abies</w:t>
      </w:r>
      <w:proofErr w:type="spellEnd"/>
      <w:r w:rsidRPr="00677CD3">
        <w:rPr>
          <w:lang w:val="ru-RU"/>
        </w:rPr>
        <w:t>).</w:t>
      </w:r>
    </w:p>
    <w:p w:rsidR="009907B9" w:rsidRPr="00A4191C" w:rsidRDefault="009907B9" w:rsidP="00FA4B03">
      <w:pPr>
        <w:rPr>
          <w:lang w:val="ru-RU"/>
        </w:rPr>
      </w:pPr>
      <w:proofErr w:type="gramStart"/>
      <w:r w:rsidRPr="009907B9">
        <w:t>j</w:t>
      </w:r>
      <w:proofErr w:type="gramEnd"/>
      <w:r w:rsidRPr="009907B9">
        <w:rPr>
          <w:lang w:val="ru-RU"/>
        </w:rPr>
        <w:t xml:space="preserve">. Объем первичного сырья из первичных лесов: </w:t>
      </w:r>
      <w:r w:rsidR="00A4191C">
        <w:rPr>
          <w:lang w:val="ru-RU"/>
        </w:rPr>
        <w:t>Не применимо 0 м</w:t>
      </w:r>
      <w:r w:rsidR="00A4191C">
        <w:rPr>
          <w:vertAlign w:val="superscript"/>
          <w:lang w:val="ru-RU"/>
        </w:rPr>
        <w:t>3</w:t>
      </w:r>
      <w:r w:rsidR="00A4191C">
        <w:rPr>
          <w:lang w:val="ru-RU"/>
        </w:rPr>
        <w:t>.</w:t>
      </w:r>
    </w:p>
    <w:p w:rsidR="009907B9" w:rsidRPr="009907B9" w:rsidRDefault="009907B9" w:rsidP="00FA4B03">
      <w:pPr>
        <w:rPr>
          <w:lang w:val="ru-RU"/>
        </w:rPr>
      </w:pPr>
      <w:proofErr w:type="gramStart"/>
      <w:r w:rsidRPr="009907B9">
        <w:t>k</w:t>
      </w:r>
      <w:proofErr w:type="gramEnd"/>
      <w:r w:rsidRPr="009907B9">
        <w:rPr>
          <w:lang w:val="ru-RU"/>
        </w:rPr>
        <w:t>. Приведите процент содержания первичного сырья из первичных лесов (</w:t>
      </w:r>
      <w:r w:rsidRPr="009907B9">
        <w:t>i</w:t>
      </w:r>
      <w:r w:rsidRPr="009907B9">
        <w:rPr>
          <w:lang w:val="ru-RU"/>
        </w:rPr>
        <w:t xml:space="preserve">), по следующим категориям. Подразделите по </w:t>
      </w:r>
      <w:r w:rsidRPr="009907B9">
        <w:t>SBP</w:t>
      </w:r>
      <w:r w:rsidRPr="009907B9">
        <w:rPr>
          <w:lang w:val="ru-RU"/>
        </w:rPr>
        <w:t xml:space="preserve">-утверждённой схеме </w:t>
      </w:r>
      <w:bookmarkStart w:id="9" w:name="_GoBack"/>
      <w:bookmarkEnd w:id="9"/>
      <w:r w:rsidRPr="009907B9">
        <w:rPr>
          <w:lang w:val="ru-RU"/>
        </w:rPr>
        <w:t>лесоуправления:</w:t>
      </w:r>
    </w:p>
    <w:p w:rsidR="00A4191C" w:rsidRPr="009907B9" w:rsidRDefault="009907B9" w:rsidP="00FA4B03">
      <w:pPr>
        <w:rPr>
          <w:lang w:val="ru-RU"/>
        </w:rPr>
      </w:pPr>
      <w:r w:rsidRPr="009907B9">
        <w:rPr>
          <w:lang w:val="ru-RU"/>
        </w:rPr>
        <w:t xml:space="preserve">- Первичное сырьё из первичных лесов, сертифицированных по </w:t>
      </w:r>
      <w:r w:rsidRPr="009907B9">
        <w:t>SBP</w:t>
      </w:r>
      <w:r w:rsidRPr="009907B9">
        <w:rPr>
          <w:lang w:val="ru-RU"/>
        </w:rPr>
        <w:t>- ут</w:t>
      </w:r>
      <w:r w:rsidR="00A4191C">
        <w:rPr>
          <w:lang w:val="ru-RU"/>
        </w:rPr>
        <w:t>верждённой схеме лесоуправления:</w:t>
      </w:r>
    </w:p>
    <w:p w:rsidR="009907B9" w:rsidRPr="009907B9" w:rsidRDefault="009907B9" w:rsidP="00FA4B03">
      <w:pPr>
        <w:rPr>
          <w:lang w:val="ru-RU"/>
        </w:rPr>
      </w:pPr>
      <w:r w:rsidRPr="009907B9">
        <w:rPr>
          <w:lang w:val="ru-RU"/>
        </w:rPr>
        <w:t xml:space="preserve">- Первичное сырьё из первичных лесов, несертифицированных по </w:t>
      </w:r>
      <w:r w:rsidRPr="009907B9">
        <w:t>SBP</w:t>
      </w:r>
      <w:r w:rsidRPr="009907B9">
        <w:rPr>
          <w:lang w:val="ru-RU"/>
        </w:rPr>
        <w:t>- утверждённой схеме лесоуправления.</w:t>
      </w:r>
    </w:p>
    <w:p w:rsidR="009907B9" w:rsidRPr="009907B9" w:rsidRDefault="009907B9" w:rsidP="00FA4B03">
      <w:pPr>
        <w:rPr>
          <w:lang w:val="ru-RU"/>
        </w:rPr>
      </w:pPr>
      <w:r w:rsidRPr="009907B9">
        <w:rPr>
          <w:lang w:val="ru-RU"/>
        </w:rPr>
        <w:t>Не применимо (0 м</w:t>
      </w:r>
      <w:r w:rsidRPr="009907B9">
        <w:rPr>
          <w:vertAlign w:val="superscript"/>
          <w:lang w:val="ru-RU"/>
        </w:rPr>
        <w:t>3</w:t>
      </w:r>
      <w:r w:rsidRPr="009907B9">
        <w:rPr>
          <w:lang w:val="ru-RU"/>
        </w:rPr>
        <w:t xml:space="preserve">). </w:t>
      </w:r>
    </w:p>
    <w:p w:rsidR="009907B9" w:rsidRPr="009907B9" w:rsidRDefault="009907B9" w:rsidP="00FA4B03">
      <w:pPr>
        <w:rPr>
          <w:lang w:val="ru-RU"/>
        </w:rPr>
      </w:pPr>
      <w:proofErr w:type="gramStart"/>
      <w:r w:rsidRPr="009907B9">
        <w:t>l</w:t>
      </w:r>
      <w:proofErr w:type="gramEnd"/>
      <w:r w:rsidRPr="009907B9">
        <w:rPr>
          <w:lang w:val="ru-RU"/>
        </w:rPr>
        <w:t xml:space="preserve">. Объём вторичного сырья: </w:t>
      </w:r>
      <w:r w:rsidR="009A741A">
        <w:rPr>
          <w:lang w:val="ru-RU"/>
        </w:rPr>
        <w:t>7183,99</w:t>
      </w:r>
      <w:r w:rsidR="00215AE6">
        <w:rPr>
          <w:lang w:val="ru-RU"/>
        </w:rPr>
        <w:t xml:space="preserve"> м</w:t>
      </w:r>
      <w:r w:rsidR="00215AE6">
        <w:rPr>
          <w:vertAlign w:val="superscript"/>
          <w:lang w:val="ru-RU"/>
        </w:rPr>
        <w:t xml:space="preserve">3 </w:t>
      </w:r>
      <w:r w:rsidRPr="009907B9">
        <w:rPr>
          <w:lang w:val="ru-RU"/>
        </w:rPr>
        <w:t xml:space="preserve">в год </w:t>
      </w:r>
      <w:r w:rsidR="003D3449">
        <w:rPr>
          <w:lang w:val="ru-RU"/>
        </w:rPr>
        <w:t xml:space="preserve">- </w:t>
      </w:r>
      <w:r w:rsidRPr="009907B9">
        <w:rPr>
          <w:lang w:val="ru-RU"/>
        </w:rPr>
        <w:t>опилки лесопиления и деревообра</w:t>
      </w:r>
      <w:r w:rsidR="00A4191C">
        <w:rPr>
          <w:lang w:val="ru-RU"/>
        </w:rPr>
        <w:t>б</w:t>
      </w:r>
      <w:r w:rsidR="003D3449">
        <w:rPr>
          <w:lang w:val="ru-RU"/>
        </w:rPr>
        <w:t xml:space="preserve">отки собственного производства (из них на производство – </w:t>
      </w:r>
      <w:r w:rsidR="009A741A">
        <w:rPr>
          <w:lang w:val="ru-RU"/>
        </w:rPr>
        <w:t>6295,69</w:t>
      </w:r>
      <w:r w:rsidR="00215AE6">
        <w:rPr>
          <w:lang w:val="ru-RU"/>
        </w:rPr>
        <w:t xml:space="preserve"> м</w:t>
      </w:r>
      <w:r w:rsidR="00215AE6">
        <w:rPr>
          <w:vertAlign w:val="superscript"/>
          <w:lang w:val="ru-RU"/>
        </w:rPr>
        <w:t>3</w:t>
      </w:r>
      <w:r w:rsidR="00215AE6">
        <w:rPr>
          <w:lang w:val="ru-RU"/>
        </w:rPr>
        <w:t xml:space="preserve">  и на теплогенерацию – </w:t>
      </w:r>
      <w:r w:rsidR="009A741A">
        <w:rPr>
          <w:lang w:val="ru-RU"/>
        </w:rPr>
        <w:t>888,3</w:t>
      </w:r>
      <w:r w:rsidR="00215AE6" w:rsidRPr="00215AE6">
        <w:rPr>
          <w:lang w:val="ru-RU"/>
        </w:rPr>
        <w:t xml:space="preserve"> </w:t>
      </w:r>
      <w:r w:rsidR="00215AE6">
        <w:rPr>
          <w:lang w:val="ru-RU"/>
        </w:rPr>
        <w:t>м</w:t>
      </w:r>
      <w:r w:rsidR="00215AE6">
        <w:rPr>
          <w:vertAlign w:val="superscript"/>
          <w:lang w:val="ru-RU"/>
        </w:rPr>
        <w:t>3</w:t>
      </w:r>
      <w:r w:rsidR="009D16AD">
        <w:rPr>
          <w:lang w:val="ru-RU"/>
        </w:rPr>
        <w:t>)</w:t>
      </w:r>
      <w:r w:rsidR="003D3449">
        <w:rPr>
          <w:lang w:val="ru-RU"/>
        </w:rPr>
        <w:t>.</w:t>
      </w:r>
    </w:p>
    <w:p w:rsidR="009907B9" w:rsidRPr="009907B9" w:rsidRDefault="009907B9" w:rsidP="00FA4B03">
      <w:pPr>
        <w:rPr>
          <w:lang w:val="ru-RU"/>
        </w:rPr>
      </w:pPr>
      <w:proofErr w:type="gramStart"/>
      <w:r w:rsidRPr="009907B9">
        <w:t>m</w:t>
      </w:r>
      <w:proofErr w:type="gramEnd"/>
      <w:r w:rsidRPr="009907B9">
        <w:rPr>
          <w:lang w:val="ru-RU"/>
        </w:rPr>
        <w:t>. Объём третичного сырья: Не применимо (0 м</w:t>
      </w:r>
      <w:r w:rsidRPr="009907B9">
        <w:rPr>
          <w:vertAlign w:val="superscript"/>
          <w:lang w:val="ru-RU"/>
        </w:rPr>
        <w:t>3</w:t>
      </w:r>
      <w:r w:rsidRPr="009907B9">
        <w:rPr>
          <w:lang w:val="ru-RU"/>
        </w:rPr>
        <w:t>)</w:t>
      </w:r>
    </w:p>
    <w:p w:rsidR="00F5639C" w:rsidRDefault="00AA659B" w:rsidP="007B4310">
      <w:pPr>
        <w:pStyle w:val="1"/>
      </w:pPr>
      <w:bookmarkStart w:id="10" w:name="_Toc450721936"/>
      <w:r>
        <w:rPr>
          <w:lang w:val="ru-RU"/>
        </w:rPr>
        <w:lastRenderedPageBreak/>
        <w:t>Оценка Ресурсной Базы</w:t>
      </w:r>
      <w:bookmarkEnd w:id="1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1"/>
        <w:gridCol w:w="1872"/>
      </w:tblGrid>
      <w:tr w:rsidR="009813C7" w:rsidRPr="009813C7" w:rsidTr="002325DF">
        <w:trPr>
          <w:trHeight w:val="620"/>
        </w:trPr>
        <w:tc>
          <w:tcPr>
            <w:tcW w:w="1861" w:type="dxa"/>
            <w:shd w:val="clear" w:color="auto" w:fill="A3CAB8" w:themeFill="accent3" w:themeFillTint="99"/>
            <w:vAlign w:val="center"/>
          </w:tcPr>
          <w:p w:rsidR="009813C7" w:rsidRPr="00AA659B" w:rsidRDefault="00AA659B" w:rsidP="00AA659B">
            <w:pPr>
              <w:spacing w:after="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ОРБ</w:t>
            </w:r>
            <w:r w:rsidR="009813C7" w:rsidRPr="009813C7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выполнена</w:t>
            </w:r>
          </w:p>
        </w:tc>
        <w:tc>
          <w:tcPr>
            <w:tcW w:w="1872" w:type="dxa"/>
            <w:shd w:val="clear" w:color="auto" w:fill="A3CAB8" w:themeFill="accent3" w:themeFillTint="99"/>
            <w:vAlign w:val="center"/>
          </w:tcPr>
          <w:p w:rsidR="009813C7" w:rsidRPr="00AA659B" w:rsidRDefault="00AA659B" w:rsidP="00AA659B">
            <w:pPr>
              <w:spacing w:after="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ОРБ</w:t>
            </w:r>
            <w:r w:rsidR="009813C7" w:rsidRPr="009813C7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не</w:t>
            </w:r>
            <w:r w:rsidR="009813C7" w:rsidRPr="009813C7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проводилась</w:t>
            </w:r>
          </w:p>
        </w:tc>
      </w:tr>
      <w:tr w:rsidR="009813C7" w:rsidRPr="009813C7" w:rsidTr="002325DF">
        <w:trPr>
          <w:trHeight w:val="710"/>
        </w:trPr>
        <w:tc>
          <w:tcPr>
            <w:tcW w:w="1861" w:type="dxa"/>
            <w:vAlign w:val="center"/>
          </w:tcPr>
          <w:p w:rsidR="009813C7" w:rsidRPr="009813C7" w:rsidRDefault="009813C7" w:rsidP="009907B9">
            <w:pPr>
              <w:spacing w:after="200"/>
              <w:jc w:val="center"/>
              <w:rPr>
                <w:b/>
                <w:lang w:val="en-US"/>
              </w:rPr>
            </w:pPr>
            <w:r w:rsidRPr="009813C7">
              <w:rPr>
                <w:rFonts w:ascii="Segoe UI Symbol" w:hAnsi="Segoe UI Symbol" w:cs="Segoe UI Symbol"/>
                <w:b/>
                <w:lang w:val="en-US"/>
              </w:rPr>
              <w:t>☐</w:t>
            </w:r>
          </w:p>
        </w:tc>
        <w:tc>
          <w:tcPr>
            <w:tcW w:w="1872" w:type="dxa"/>
            <w:vAlign w:val="center"/>
          </w:tcPr>
          <w:p w:rsidR="009813C7" w:rsidRPr="009907B9" w:rsidRDefault="009813C7" w:rsidP="009907B9">
            <w:pPr>
              <w:pStyle w:val="a"/>
              <w:numPr>
                <w:ilvl w:val="0"/>
                <w:numId w:val="20"/>
              </w:numPr>
              <w:jc w:val="center"/>
              <w:rPr>
                <w:b/>
                <w:lang w:val="en-US"/>
              </w:rPr>
            </w:pPr>
          </w:p>
        </w:tc>
      </w:tr>
    </w:tbl>
    <w:p w:rsidR="00AA659B" w:rsidRDefault="00AA659B" w:rsidP="009813C7">
      <w:pPr>
        <w:rPr>
          <w:i/>
        </w:rPr>
      </w:pPr>
    </w:p>
    <w:p w:rsidR="001A4522" w:rsidRPr="001A4522" w:rsidRDefault="001A4522" w:rsidP="0081425F">
      <w:pPr>
        <w:jc w:val="both"/>
      </w:pPr>
      <w:r w:rsidRPr="001A4522">
        <w:rPr>
          <w:lang w:val="ru-RU"/>
        </w:rPr>
        <w:t xml:space="preserve">Для производства </w:t>
      </w:r>
      <w:r w:rsidRPr="001A4522">
        <w:rPr>
          <w:lang w:val="en-US"/>
        </w:rPr>
        <w:t>SBP</w:t>
      </w:r>
      <w:r w:rsidRPr="001A4522">
        <w:rPr>
          <w:lang w:val="ru-RU"/>
        </w:rPr>
        <w:t xml:space="preserve"> топливных гранул используется </w:t>
      </w:r>
      <w:r w:rsidRPr="001A4522">
        <w:rPr>
          <w:lang w:val="en-US"/>
        </w:rPr>
        <w:t>FSC</w:t>
      </w:r>
      <w:r w:rsidRPr="001A4522">
        <w:rPr>
          <w:lang w:val="ru-RU"/>
        </w:rPr>
        <w:t xml:space="preserve">-сертифицированная древесина, т.е. 100% всего объема производства гранул будет иметь заявление </w:t>
      </w:r>
      <w:r w:rsidRPr="001A4522">
        <w:rPr>
          <w:lang w:val="en-US"/>
        </w:rPr>
        <w:t>FSC</w:t>
      </w:r>
      <w:r w:rsidRPr="001A4522">
        <w:rPr>
          <w:lang w:val="ru-RU"/>
        </w:rPr>
        <w:t xml:space="preserve"> 100%. </w:t>
      </w:r>
      <w:proofErr w:type="spellStart"/>
      <w:r w:rsidRPr="001A4522">
        <w:t>Оценка</w:t>
      </w:r>
      <w:proofErr w:type="spellEnd"/>
      <w:r w:rsidRPr="001A4522">
        <w:t xml:space="preserve"> </w:t>
      </w:r>
      <w:proofErr w:type="spellStart"/>
      <w:r w:rsidRPr="001A4522">
        <w:t>ресурсной</w:t>
      </w:r>
      <w:proofErr w:type="spellEnd"/>
      <w:r w:rsidRPr="001A4522">
        <w:t xml:space="preserve"> </w:t>
      </w:r>
      <w:proofErr w:type="spellStart"/>
      <w:r w:rsidRPr="001A4522">
        <w:t>базы</w:t>
      </w:r>
      <w:proofErr w:type="spellEnd"/>
      <w:r w:rsidRPr="001A4522">
        <w:t xml:space="preserve"> </w:t>
      </w:r>
      <w:proofErr w:type="spellStart"/>
      <w:r w:rsidRPr="001A4522">
        <w:t>не</w:t>
      </w:r>
      <w:proofErr w:type="spellEnd"/>
      <w:r w:rsidRPr="001A4522">
        <w:t xml:space="preserve"> </w:t>
      </w:r>
      <w:proofErr w:type="spellStart"/>
      <w:r w:rsidRPr="001A4522">
        <w:t>требуется</w:t>
      </w:r>
      <w:proofErr w:type="spellEnd"/>
      <w:r w:rsidRPr="001A4522">
        <w:t>.</w:t>
      </w:r>
    </w:p>
    <w:p w:rsidR="009813C7" w:rsidRPr="00AA659B" w:rsidRDefault="009813C7">
      <w:pPr>
        <w:spacing w:line="276" w:lineRule="auto"/>
        <w:rPr>
          <w:lang w:val="ru-RU"/>
        </w:rPr>
      </w:pPr>
      <w:r w:rsidRPr="00AA659B">
        <w:rPr>
          <w:lang w:val="ru-RU"/>
        </w:rPr>
        <w:br w:type="page"/>
      </w:r>
    </w:p>
    <w:p w:rsidR="009813C7" w:rsidRDefault="00AA659B" w:rsidP="009813C7">
      <w:pPr>
        <w:pStyle w:val="1"/>
      </w:pPr>
      <w:bookmarkStart w:id="11" w:name="_Toc450721937"/>
      <w:r>
        <w:rPr>
          <w:lang w:val="ru-RU"/>
        </w:rPr>
        <w:lastRenderedPageBreak/>
        <w:t>Оценка ресурсной базы</w:t>
      </w:r>
      <w:bookmarkEnd w:id="11"/>
    </w:p>
    <w:p w:rsidR="009813C7" w:rsidRDefault="00AA659B" w:rsidP="009813C7">
      <w:pPr>
        <w:pStyle w:val="2"/>
      </w:pPr>
      <w:bookmarkStart w:id="12" w:name="_Toc450721938"/>
      <w:r>
        <w:rPr>
          <w:lang w:val="ru-RU"/>
        </w:rPr>
        <w:t>Область оценки</w:t>
      </w:r>
      <w:bookmarkEnd w:id="12"/>
    </w:p>
    <w:p w:rsidR="00AA659B" w:rsidRPr="00274193" w:rsidRDefault="00274193" w:rsidP="009813C7">
      <w:pPr>
        <w:rPr>
          <w:lang w:val="ru-RU"/>
        </w:rPr>
      </w:pPr>
      <w:r>
        <w:rPr>
          <w:lang w:val="ru-RU"/>
        </w:rPr>
        <w:t>Не применимо.</w:t>
      </w:r>
    </w:p>
    <w:p w:rsidR="009813C7" w:rsidRDefault="00AA659B" w:rsidP="009813C7">
      <w:pPr>
        <w:pStyle w:val="2"/>
      </w:pPr>
      <w:bookmarkStart w:id="13" w:name="_Toc450721939"/>
      <w:r>
        <w:rPr>
          <w:lang w:val="ru-RU"/>
        </w:rPr>
        <w:t>Обоснование</w:t>
      </w:r>
      <w:bookmarkEnd w:id="13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9813C7" w:rsidRDefault="00AA659B" w:rsidP="009813C7">
      <w:pPr>
        <w:pStyle w:val="2"/>
      </w:pPr>
      <w:bookmarkStart w:id="14" w:name="_Toc412646205"/>
      <w:bookmarkStart w:id="15" w:name="_Toc450721940"/>
      <w:r>
        <w:rPr>
          <w:lang w:val="ru-RU"/>
        </w:rPr>
        <w:t>Результаты оценки рисков</w:t>
      </w:r>
      <w:bookmarkEnd w:id="14"/>
      <w:bookmarkEnd w:id="15"/>
    </w:p>
    <w:p w:rsidR="009813C7" w:rsidRPr="00274193" w:rsidRDefault="00274193" w:rsidP="009813C7">
      <w:pPr>
        <w:rPr>
          <w:lang w:val="ru-RU"/>
        </w:rPr>
      </w:pPr>
      <w:r>
        <w:rPr>
          <w:lang w:val="ru-RU"/>
        </w:rPr>
        <w:t>Не применимо.</w:t>
      </w:r>
    </w:p>
    <w:p w:rsidR="009813C7" w:rsidRDefault="00AA659B" w:rsidP="009813C7">
      <w:pPr>
        <w:pStyle w:val="2"/>
      </w:pPr>
      <w:bookmarkStart w:id="16" w:name="_Toc450721941"/>
      <w:r>
        <w:rPr>
          <w:lang w:val="ru-RU"/>
        </w:rPr>
        <w:t>Результаты Программы Проверки Поставщиков</w:t>
      </w:r>
      <w:bookmarkEnd w:id="16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9813C7" w:rsidRDefault="00AA659B" w:rsidP="009813C7">
      <w:pPr>
        <w:pStyle w:val="2"/>
      </w:pPr>
      <w:bookmarkStart w:id="17" w:name="_Toc450721942"/>
      <w:r>
        <w:rPr>
          <w:lang w:val="ru-RU"/>
        </w:rPr>
        <w:t>Выводы</w:t>
      </w:r>
      <w:bookmarkEnd w:id="17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B165D0" w:rsidRPr="00AA659B" w:rsidRDefault="00B165D0">
      <w:pPr>
        <w:spacing w:line="276" w:lineRule="auto"/>
        <w:rPr>
          <w:rFonts w:asciiTheme="majorHAnsi" w:eastAsiaTheme="majorEastAsia" w:hAnsiTheme="majorHAnsi" w:cstheme="majorBidi"/>
          <w:bCs/>
          <w:iCs/>
          <w:color w:val="8AB059"/>
          <w:sz w:val="28"/>
          <w:szCs w:val="28"/>
          <w:lang w:val="ru-RU"/>
        </w:rPr>
      </w:pPr>
      <w:r w:rsidRPr="00AA659B">
        <w:rPr>
          <w:lang w:val="ru-RU"/>
        </w:rPr>
        <w:br w:type="page"/>
      </w:r>
    </w:p>
    <w:p w:rsidR="00B165D0" w:rsidRDefault="00DD39E1" w:rsidP="00B165D0">
      <w:pPr>
        <w:pStyle w:val="1"/>
      </w:pPr>
      <w:bookmarkStart w:id="18" w:name="_Toc450721943"/>
      <w:r>
        <w:rPr>
          <w:lang w:val="ru-RU"/>
        </w:rPr>
        <w:lastRenderedPageBreak/>
        <w:t>Процесс Оценки Ресурсной Базы</w:t>
      </w:r>
      <w:bookmarkEnd w:id="18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9876E0" w:rsidRDefault="00587001" w:rsidP="00B165D0">
      <w:pPr>
        <w:pStyle w:val="1"/>
      </w:pPr>
      <w:bookmarkStart w:id="19" w:name="_Toc450721944"/>
      <w:r>
        <w:rPr>
          <w:lang w:val="ru-RU"/>
        </w:rPr>
        <w:lastRenderedPageBreak/>
        <w:t>Консультации заинтересованных сторон</w:t>
      </w:r>
      <w:bookmarkEnd w:id="19"/>
      <w:r w:rsidR="009876E0">
        <w:t xml:space="preserve"> </w:t>
      </w:r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B165D0" w:rsidRPr="00274193" w:rsidRDefault="00F16F7F" w:rsidP="00B165D0">
      <w:pPr>
        <w:pStyle w:val="2"/>
        <w:rPr>
          <w:lang w:val="ru-RU"/>
        </w:rPr>
      </w:pPr>
      <w:bookmarkStart w:id="20" w:name="_Toc450721945"/>
      <w:r>
        <w:rPr>
          <w:lang w:val="ru-RU"/>
        </w:rPr>
        <w:t xml:space="preserve">Ответ на </w:t>
      </w:r>
      <w:proofErr w:type="gramStart"/>
      <w:r>
        <w:rPr>
          <w:lang w:val="ru-RU"/>
        </w:rPr>
        <w:t>комментарии</w:t>
      </w:r>
      <w:proofErr w:type="gramEnd"/>
      <w:r>
        <w:rPr>
          <w:lang w:val="ru-RU"/>
        </w:rPr>
        <w:t xml:space="preserve"> заинтересованных сторон</w:t>
      </w:r>
      <w:bookmarkEnd w:id="20"/>
    </w:p>
    <w:p w:rsidR="00274193" w:rsidRPr="00274193" w:rsidRDefault="00274193" w:rsidP="00274193">
      <w:pPr>
        <w:rPr>
          <w:lang w:val="ru-RU"/>
        </w:rPr>
      </w:pPr>
      <w:bookmarkStart w:id="21" w:name="_Toc412646211"/>
      <w:r>
        <w:rPr>
          <w:lang w:val="ru-RU"/>
        </w:rPr>
        <w:t>Не применимо.</w:t>
      </w:r>
    </w:p>
    <w:p w:rsidR="00B165D0" w:rsidRDefault="004D4AA8" w:rsidP="00B165D0">
      <w:pPr>
        <w:pStyle w:val="1"/>
      </w:pPr>
      <w:bookmarkStart w:id="22" w:name="_Toc450721946"/>
      <w:r>
        <w:rPr>
          <w:lang w:val="ru-RU"/>
        </w:rPr>
        <w:lastRenderedPageBreak/>
        <w:t>Обзор</w:t>
      </w:r>
      <w:r w:rsidRPr="004D4AA8">
        <w:rPr>
          <w:lang w:val="en-US"/>
        </w:rPr>
        <w:t xml:space="preserve"> </w:t>
      </w:r>
      <w:r>
        <w:rPr>
          <w:lang w:val="ru-RU"/>
        </w:rPr>
        <w:t>первоначальной</w:t>
      </w:r>
      <w:r w:rsidRPr="004D4AA8">
        <w:rPr>
          <w:lang w:val="en-US"/>
        </w:rPr>
        <w:t xml:space="preserve"> </w:t>
      </w:r>
      <w:r>
        <w:rPr>
          <w:lang w:val="ru-RU"/>
        </w:rPr>
        <w:t>оценки</w:t>
      </w:r>
      <w:r w:rsidRPr="004D4AA8">
        <w:rPr>
          <w:lang w:val="en-US"/>
        </w:rPr>
        <w:t xml:space="preserve"> </w:t>
      </w:r>
      <w:r>
        <w:rPr>
          <w:lang w:val="ru-RU"/>
        </w:rPr>
        <w:t>рисков</w:t>
      </w:r>
      <w:bookmarkEnd w:id="22"/>
      <w:r w:rsidR="00B165D0">
        <w:t xml:space="preserve"> </w:t>
      </w:r>
      <w:bookmarkEnd w:id="21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B165D0" w:rsidRDefault="00193ED7" w:rsidP="00781DCB">
      <w:pPr>
        <w:pStyle w:val="1"/>
      </w:pPr>
      <w:bookmarkStart w:id="23" w:name="_Toc450721947"/>
      <w:r>
        <w:rPr>
          <w:lang w:val="ru-RU"/>
        </w:rPr>
        <w:lastRenderedPageBreak/>
        <w:t>Программа Проверки Поставщиков</w:t>
      </w:r>
      <w:bookmarkEnd w:id="23"/>
    </w:p>
    <w:p w:rsidR="00781DCB" w:rsidRDefault="00193ED7" w:rsidP="00781DCB">
      <w:pPr>
        <w:pStyle w:val="2"/>
      </w:pPr>
      <w:bookmarkStart w:id="24" w:name="_Toc450721948"/>
      <w:r>
        <w:rPr>
          <w:lang w:val="ru-RU"/>
        </w:rPr>
        <w:t>Описание Программы Проверки Поставщиков</w:t>
      </w:r>
      <w:bookmarkEnd w:id="24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781DCB" w:rsidRDefault="00193ED7" w:rsidP="00781DCB">
      <w:pPr>
        <w:pStyle w:val="2"/>
      </w:pPr>
      <w:bookmarkStart w:id="25" w:name="_Toc450721949"/>
      <w:r>
        <w:rPr>
          <w:lang w:val="ru-RU"/>
        </w:rPr>
        <w:t>Посещение площадок</w:t>
      </w:r>
      <w:bookmarkEnd w:id="25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781DCB" w:rsidRDefault="004C0072" w:rsidP="00781DCB">
      <w:pPr>
        <w:pStyle w:val="2"/>
      </w:pPr>
      <w:bookmarkStart w:id="26" w:name="_Toc450721950"/>
      <w:r>
        <w:rPr>
          <w:lang w:val="ru-RU"/>
        </w:rPr>
        <w:t>Выводы Программы Проверки Поставщиков</w:t>
      </w:r>
      <w:bookmarkEnd w:id="26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B42DC1" w:rsidRPr="00176F6E" w:rsidRDefault="00176F6E" w:rsidP="00B42DC1">
      <w:pPr>
        <w:pStyle w:val="1"/>
        <w:rPr>
          <w:lang w:val="ru-RU"/>
        </w:rPr>
      </w:pPr>
      <w:bookmarkStart w:id="27" w:name="_Toc450721951"/>
      <w:r>
        <w:rPr>
          <w:lang w:val="ru-RU"/>
        </w:rPr>
        <w:lastRenderedPageBreak/>
        <w:t>Меры по снижению уровня риска</w:t>
      </w:r>
      <w:bookmarkEnd w:id="27"/>
    </w:p>
    <w:p w:rsidR="00B42DC1" w:rsidRPr="00176F6E" w:rsidRDefault="00176F6E" w:rsidP="00B42DC1">
      <w:pPr>
        <w:pStyle w:val="2"/>
        <w:rPr>
          <w:lang w:val="ru-RU"/>
        </w:rPr>
      </w:pPr>
      <w:bookmarkStart w:id="28" w:name="_Toc450721952"/>
      <w:r>
        <w:rPr>
          <w:lang w:val="ru-RU"/>
        </w:rPr>
        <w:t>Меры по снижению уровня риска</w:t>
      </w:r>
      <w:bookmarkEnd w:id="28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B42DC1" w:rsidRDefault="00176F6E" w:rsidP="00B42DC1">
      <w:pPr>
        <w:pStyle w:val="2"/>
      </w:pPr>
      <w:bookmarkStart w:id="29" w:name="_Toc450721953"/>
      <w:r>
        <w:rPr>
          <w:lang w:val="ru-RU"/>
        </w:rPr>
        <w:t>Мониторинг и результаты</w:t>
      </w:r>
      <w:bookmarkEnd w:id="29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F45D4A" w:rsidRDefault="00C35BAE" w:rsidP="00F45D4A">
      <w:pPr>
        <w:pStyle w:val="1"/>
      </w:pPr>
      <w:bookmarkStart w:id="30" w:name="_Toc450721954"/>
      <w:r>
        <w:rPr>
          <w:lang w:val="ru-RU"/>
        </w:rPr>
        <w:lastRenderedPageBreak/>
        <w:t>Детальные результаты по индикаторам</w:t>
      </w:r>
      <w:bookmarkEnd w:id="30"/>
    </w:p>
    <w:p w:rsidR="00274193" w:rsidRPr="00274193" w:rsidRDefault="00274193" w:rsidP="00274193">
      <w:pPr>
        <w:rPr>
          <w:lang w:val="ru-RU"/>
        </w:rPr>
      </w:pPr>
      <w:r>
        <w:rPr>
          <w:lang w:val="ru-RU"/>
        </w:rPr>
        <w:t>Не применимо.</w:t>
      </w:r>
    </w:p>
    <w:p w:rsidR="00F45D4A" w:rsidRPr="00C35BAE" w:rsidRDefault="00F45D4A">
      <w:pPr>
        <w:spacing w:line="276" w:lineRule="auto"/>
        <w:rPr>
          <w:lang w:val="ru-RU"/>
        </w:rPr>
      </w:pPr>
      <w:r w:rsidRPr="00C35BAE">
        <w:rPr>
          <w:lang w:val="ru-RU"/>
        </w:rPr>
        <w:br w:type="page"/>
      </w:r>
    </w:p>
    <w:p w:rsidR="00F45D4A" w:rsidRDefault="00CA5F43" w:rsidP="00F45D4A">
      <w:pPr>
        <w:pStyle w:val="1"/>
      </w:pPr>
      <w:bookmarkStart w:id="31" w:name="_Toc450721955"/>
      <w:r>
        <w:rPr>
          <w:lang w:val="ru-RU"/>
        </w:rPr>
        <w:lastRenderedPageBreak/>
        <w:t>Рецензия отчета</w:t>
      </w:r>
      <w:bookmarkEnd w:id="31"/>
    </w:p>
    <w:p w:rsidR="00F45D4A" w:rsidRDefault="00CA5F43" w:rsidP="00F45D4A">
      <w:pPr>
        <w:pStyle w:val="2"/>
        <w:rPr>
          <w:lang w:val="ru-RU"/>
        </w:rPr>
      </w:pPr>
      <w:bookmarkStart w:id="32" w:name="_Toc450721956"/>
      <w:r>
        <w:rPr>
          <w:lang w:val="ru-RU"/>
        </w:rPr>
        <w:t>Экспертная оценка</w:t>
      </w:r>
      <w:bookmarkEnd w:id="32"/>
    </w:p>
    <w:p w:rsidR="00985468" w:rsidRPr="00985468" w:rsidRDefault="00985468" w:rsidP="00985468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82970" cy="8467090"/>
            <wp:effectExtent l="19050" t="0" r="0" b="0"/>
            <wp:docPr id="5" name="Рисунок 4" descr="Экспертная оценка отчета о ресурсной базе лесхоз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ертная оценка отчета о ресурсной базе лесхоза_00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4A" w:rsidRDefault="00CA5F43" w:rsidP="00F45D4A">
      <w:pPr>
        <w:pStyle w:val="2"/>
      </w:pPr>
      <w:bookmarkStart w:id="33" w:name="_Toc450721957"/>
      <w:r>
        <w:rPr>
          <w:lang w:val="ru-RU"/>
        </w:rPr>
        <w:lastRenderedPageBreak/>
        <w:t>Общественная и дополнительная оценка</w:t>
      </w:r>
      <w:bookmarkEnd w:id="33"/>
      <w:r w:rsidR="00F45D4A">
        <w:t xml:space="preserve"> </w:t>
      </w:r>
    </w:p>
    <w:p w:rsidR="00D74FA2" w:rsidRPr="00D74FA2" w:rsidRDefault="00D74FA2" w:rsidP="00D74FA2">
      <w:pPr>
        <w:tabs>
          <w:tab w:val="left" w:pos="3108"/>
        </w:tabs>
        <w:jc w:val="both"/>
        <w:rPr>
          <w:lang w:val="ru-RU"/>
        </w:rPr>
      </w:pPr>
      <w:r w:rsidRPr="00D74FA2">
        <w:rPr>
          <w:lang w:val="ru-RU"/>
        </w:rPr>
        <w:t>Русскоязычная вер</w:t>
      </w:r>
      <w:r w:rsidR="00AE2996">
        <w:rPr>
          <w:lang w:val="ru-RU"/>
        </w:rPr>
        <w:t xml:space="preserve">сия отчета размещена на сайте ГЛХУ «Столбцовский </w:t>
      </w:r>
      <w:r w:rsidRPr="00D74FA2">
        <w:rPr>
          <w:lang w:val="ru-RU"/>
        </w:rPr>
        <w:t xml:space="preserve">лесхоз» </w:t>
      </w:r>
      <w:hyperlink r:id="rId18" w:history="1">
        <w:r w:rsidR="00F81C71" w:rsidRPr="00D23841">
          <w:rPr>
            <w:rStyle w:val="ad"/>
            <w:color w:val="auto"/>
            <w:lang w:val="en-US"/>
          </w:rPr>
          <w:t>http</w:t>
        </w:r>
        <w:r w:rsidR="00F81C71" w:rsidRPr="00D23841">
          <w:rPr>
            <w:rStyle w:val="ad"/>
            <w:color w:val="auto"/>
            <w:lang w:val="ru-RU"/>
          </w:rPr>
          <w:t>://</w:t>
        </w:r>
        <w:proofErr w:type="spellStart"/>
        <w:r w:rsidR="00F81C71" w:rsidRPr="00D23841">
          <w:rPr>
            <w:rStyle w:val="ad"/>
            <w:color w:val="auto"/>
            <w:lang w:val="en-US"/>
          </w:rPr>
          <w:t>stolbzyles</w:t>
        </w:r>
        <w:proofErr w:type="spellEnd"/>
        <w:r w:rsidR="00F81C71" w:rsidRPr="00D23841">
          <w:rPr>
            <w:rStyle w:val="ad"/>
            <w:color w:val="auto"/>
            <w:lang w:val="ru-RU"/>
          </w:rPr>
          <w:t>.</w:t>
        </w:r>
        <w:r w:rsidR="00F81C71" w:rsidRPr="00D23841">
          <w:rPr>
            <w:rStyle w:val="ad"/>
            <w:color w:val="auto"/>
            <w:lang w:val="en-US"/>
          </w:rPr>
          <w:t>by</w:t>
        </w:r>
        <w:r w:rsidR="00F81C71" w:rsidRPr="00D23841">
          <w:rPr>
            <w:rStyle w:val="ad"/>
            <w:color w:val="auto"/>
            <w:lang w:val="ru-RU"/>
          </w:rPr>
          <w:t>/</w:t>
        </w:r>
        <w:r w:rsidR="00F81C71" w:rsidRPr="00D23841">
          <w:rPr>
            <w:rStyle w:val="ad"/>
            <w:color w:val="auto"/>
            <w:lang w:val="en-US"/>
          </w:rPr>
          <w:t>certification</w:t>
        </w:r>
      </w:hyperlink>
      <w:r w:rsidRPr="00D23841">
        <w:rPr>
          <w:lang w:val="ru-RU"/>
        </w:rPr>
        <w:t xml:space="preserve"> </w:t>
      </w:r>
      <w:r w:rsidRPr="00D74FA2">
        <w:rPr>
          <w:lang w:val="ru-RU"/>
        </w:rPr>
        <w:t xml:space="preserve">для публичного ознакомления всех заинтересованных сторон. </w:t>
      </w:r>
    </w:p>
    <w:p w:rsidR="00D74FA2" w:rsidRPr="00D74FA2" w:rsidRDefault="00D74FA2" w:rsidP="00D74FA2">
      <w:pPr>
        <w:tabs>
          <w:tab w:val="left" w:pos="3108"/>
        </w:tabs>
        <w:jc w:val="both"/>
        <w:rPr>
          <w:lang w:val="ru-RU"/>
        </w:rPr>
      </w:pPr>
      <w:r w:rsidRPr="00D74FA2">
        <w:rPr>
          <w:lang w:val="ru-RU"/>
        </w:rPr>
        <w:t xml:space="preserve">После ознакомления, все заинтересованные стороны могут направлять свои отзывы, в случае наличия таковых, по электронному адресу: </w:t>
      </w:r>
      <w:proofErr w:type="spellStart"/>
      <w:r w:rsidRPr="00D74FA2">
        <w:rPr>
          <w:lang w:val="en-US"/>
        </w:rPr>
        <w:t>stolbzyles</w:t>
      </w:r>
      <w:proofErr w:type="spellEnd"/>
      <w:r w:rsidRPr="00D74FA2">
        <w:rPr>
          <w:lang w:val="ru-RU"/>
        </w:rPr>
        <w:t>@</w:t>
      </w:r>
      <w:r w:rsidRPr="00D74FA2">
        <w:rPr>
          <w:lang w:val="en-US"/>
        </w:rPr>
        <w:t>tut</w:t>
      </w:r>
      <w:r w:rsidRPr="00D74FA2">
        <w:rPr>
          <w:lang w:val="ru-RU"/>
        </w:rPr>
        <w:t>.</w:t>
      </w:r>
      <w:r w:rsidRPr="00D74FA2">
        <w:rPr>
          <w:lang w:val="en-US"/>
        </w:rPr>
        <w:t>by</w:t>
      </w:r>
      <w:r w:rsidRPr="00D74FA2">
        <w:rPr>
          <w:lang w:val="ru-RU"/>
        </w:rPr>
        <w:t>.</w:t>
      </w:r>
    </w:p>
    <w:p w:rsidR="00F45D4A" w:rsidRDefault="003D3449" w:rsidP="00F45D4A">
      <w:pPr>
        <w:pStyle w:val="1"/>
      </w:pPr>
      <w:bookmarkStart w:id="34" w:name="_Toc450721958"/>
      <w:r>
        <w:rPr>
          <w:lang w:val="ru-RU"/>
        </w:rPr>
        <w:lastRenderedPageBreak/>
        <w:t xml:space="preserve">  </w:t>
      </w:r>
      <w:r w:rsidR="009077D2">
        <w:rPr>
          <w:lang w:val="ru-RU"/>
        </w:rPr>
        <w:t>Утверждение отчета</w:t>
      </w:r>
      <w:bookmarkEnd w:id="34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62"/>
        <w:gridCol w:w="3776"/>
        <w:gridCol w:w="2789"/>
        <w:gridCol w:w="1727"/>
      </w:tblGrid>
      <w:tr w:rsidR="001253E0" w:rsidRPr="009A741A" w:rsidTr="001253E0">
        <w:trPr>
          <w:trHeight w:val="647"/>
        </w:trPr>
        <w:tc>
          <w:tcPr>
            <w:tcW w:w="9854" w:type="dxa"/>
            <w:gridSpan w:val="4"/>
            <w:shd w:val="clear" w:color="auto" w:fill="315644" w:themeFill="accent3" w:themeFillShade="80"/>
            <w:vAlign w:val="center"/>
          </w:tcPr>
          <w:p w:rsidR="001253E0" w:rsidRPr="009C1C05" w:rsidRDefault="001253E0" w:rsidP="003D3449">
            <w:pPr>
              <w:spacing w:before="120" w:line="240" w:lineRule="auto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Утверждение Отчета о ресурсной базе высшим руководством</w:t>
            </w:r>
          </w:p>
        </w:tc>
      </w:tr>
      <w:tr w:rsidR="001253E0" w:rsidRPr="00F45D4A" w:rsidTr="003D3449">
        <w:trPr>
          <w:trHeight w:val="1052"/>
        </w:trPr>
        <w:tc>
          <w:tcPr>
            <w:tcW w:w="1562" w:type="dxa"/>
            <w:vMerge w:val="restart"/>
            <w:shd w:val="clear" w:color="auto" w:fill="A3CAB8" w:themeFill="accent3" w:themeFillTint="99"/>
            <w:vAlign w:val="center"/>
          </w:tcPr>
          <w:p w:rsidR="001253E0" w:rsidRPr="00F45D4A" w:rsidRDefault="001253E0" w:rsidP="003D3449">
            <w:pPr>
              <w:spacing w:before="120" w:line="240" w:lineRule="auto"/>
              <w:rPr>
                <w:b/>
                <w:lang w:val="en-US"/>
              </w:rPr>
            </w:pPr>
            <w:r>
              <w:rPr>
                <w:b/>
                <w:lang w:val="ru-RU"/>
              </w:rPr>
              <w:t>Отчет подготовлен</w:t>
            </w:r>
            <w:r w:rsidRPr="00F45D4A">
              <w:rPr>
                <w:b/>
                <w:lang w:val="en-US"/>
              </w:rPr>
              <w:t>: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253E0" w:rsidRPr="003D3449" w:rsidRDefault="003D3CE0" w:rsidP="003D3449">
            <w:pPr>
              <w:spacing w:before="120" w:line="240" w:lineRule="auto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Ломако Андрей Мечиславович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253E0" w:rsidRPr="003D3449" w:rsidRDefault="003D3449" w:rsidP="003D3449">
            <w:pPr>
              <w:spacing w:before="120" w:line="240" w:lineRule="auto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Инженер по стандартизации и сертификации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253E0" w:rsidRPr="00D23841" w:rsidRDefault="00D23841" w:rsidP="003D3449">
            <w:pPr>
              <w:spacing w:before="12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t>21/06/2019</w:t>
            </w:r>
          </w:p>
        </w:tc>
      </w:tr>
      <w:tr w:rsidR="001253E0" w:rsidRPr="009C1C05" w:rsidTr="003D3449">
        <w:trPr>
          <w:trHeight w:val="413"/>
        </w:trPr>
        <w:tc>
          <w:tcPr>
            <w:tcW w:w="1562" w:type="dxa"/>
            <w:vMerge/>
            <w:shd w:val="clear" w:color="auto" w:fill="A3CAB8" w:themeFill="accent3" w:themeFillTint="99"/>
            <w:vAlign w:val="center"/>
          </w:tcPr>
          <w:p w:rsidR="001253E0" w:rsidRPr="00F45D4A" w:rsidRDefault="001253E0" w:rsidP="003D3449">
            <w:pPr>
              <w:spacing w:after="200"/>
              <w:rPr>
                <w:b/>
                <w:lang w:val="en-US"/>
              </w:rPr>
            </w:pPr>
          </w:p>
        </w:tc>
        <w:tc>
          <w:tcPr>
            <w:tcW w:w="3776" w:type="dxa"/>
            <w:shd w:val="clear" w:color="auto" w:fill="A3CAB8" w:themeFill="accent3" w:themeFillTint="99"/>
            <w:vAlign w:val="center"/>
          </w:tcPr>
          <w:p w:rsidR="001253E0" w:rsidRPr="009C1C05" w:rsidRDefault="001253E0" w:rsidP="003D3449">
            <w:pPr>
              <w:spacing w:before="12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Имя</w:t>
            </w:r>
          </w:p>
        </w:tc>
        <w:tc>
          <w:tcPr>
            <w:tcW w:w="2789" w:type="dxa"/>
            <w:shd w:val="clear" w:color="auto" w:fill="A3CAB8" w:themeFill="accent3" w:themeFillTint="99"/>
            <w:vAlign w:val="center"/>
          </w:tcPr>
          <w:p w:rsidR="001253E0" w:rsidRPr="009C1C05" w:rsidRDefault="001253E0" w:rsidP="003D3449">
            <w:pPr>
              <w:spacing w:before="12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</w:t>
            </w:r>
          </w:p>
        </w:tc>
        <w:tc>
          <w:tcPr>
            <w:tcW w:w="1727" w:type="dxa"/>
            <w:shd w:val="clear" w:color="auto" w:fill="A3CAB8" w:themeFill="accent3" w:themeFillTint="99"/>
            <w:vAlign w:val="center"/>
          </w:tcPr>
          <w:p w:rsidR="001253E0" w:rsidRPr="009C1C05" w:rsidRDefault="001253E0" w:rsidP="003D3449">
            <w:pPr>
              <w:spacing w:before="12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</w:tr>
      <w:tr w:rsidR="001253E0" w:rsidRPr="009A741A" w:rsidTr="001253E0">
        <w:trPr>
          <w:trHeight w:val="647"/>
        </w:trPr>
        <w:tc>
          <w:tcPr>
            <w:tcW w:w="9854" w:type="dxa"/>
            <w:gridSpan w:val="4"/>
            <w:shd w:val="clear" w:color="auto" w:fill="A3CAB8" w:themeFill="accent3" w:themeFillTint="99"/>
            <w:vAlign w:val="center"/>
          </w:tcPr>
          <w:p w:rsidR="001253E0" w:rsidRPr="009C1C05" w:rsidRDefault="001253E0" w:rsidP="003D3449">
            <w:pPr>
              <w:spacing w:before="120" w:after="120" w:line="240" w:lineRule="auto"/>
              <w:rPr>
                <w:b/>
                <w:lang w:val="ru-RU"/>
              </w:rPr>
            </w:pPr>
            <w:r w:rsidRPr="009C1C05">
              <w:rPr>
                <w:b/>
                <w:lang w:val="ru-RU"/>
              </w:rPr>
              <w:t>Нижеподписавшиеся лица подтверждаю</w:t>
            </w:r>
            <w:r>
              <w:rPr>
                <w:b/>
                <w:lang w:val="ru-RU"/>
              </w:rPr>
              <w:t>т</w:t>
            </w:r>
            <w:r w:rsidRPr="009C1C05">
              <w:rPr>
                <w:b/>
                <w:lang w:val="ru-RU"/>
              </w:rPr>
              <w:t xml:space="preserve">, что я / мы </w:t>
            </w:r>
            <w:r>
              <w:rPr>
                <w:b/>
                <w:lang w:val="ru-RU"/>
              </w:rPr>
              <w:t xml:space="preserve">являемся </w:t>
            </w:r>
            <w:r w:rsidRPr="009C1C05">
              <w:rPr>
                <w:b/>
                <w:lang w:val="ru-RU"/>
              </w:rPr>
              <w:t>член</w:t>
            </w:r>
            <w:r>
              <w:rPr>
                <w:b/>
                <w:lang w:val="ru-RU"/>
              </w:rPr>
              <w:t>ами</w:t>
            </w:r>
            <w:r w:rsidRPr="009C1C05">
              <w:rPr>
                <w:b/>
                <w:lang w:val="ru-RU"/>
              </w:rPr>
              <w:t xml:space="preserve"> высшего руководства организации и подтвержда</w:t>
            </w:r>
            <w:r>
              <w:rPr>
                <w:b/>
                <w:lang w:val="ru-RU"/>
              </w:rPr>
              <w:t>ем</w:t>
            </w:r>
            <w:r w:rsidRPr="009C1C05">
              <w:rPr>
                <w:b/>
                <w:lang w:val="ru-RU"/>
              </w:rPr>
              <w:t xml:space="preserve">, что содержание этого </w:t>
            </w:r>
            <w:r>
              <w:rPr>
                <w:b/>
                <w:lang w:val="ru-RU"/>
              </w:rPr>
              <w:t>Отчета</w:t>
            </w:r>
            <w:r w:rsidRPr="009C1C0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перед</w:t>
            </w:r>
            <w:r w:rsidRPr="009C1C0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его </w:t>
            </w:r>
            <w:r w:rsidRPr="009C1C05">
              <w:rPr>
                <w:b/>
                <w:lang w:val="ru-RU"/>
              </w:rPr>
              <w:t>утверждени</w:t>
            </w:r>
            <w:r>
              <w:rPr>
                <w:b/>
                <w:lang w:val="ru-RU"/>
              </w:rPr>
              <w:t>ем</w:t>
            </w:r>
            <w:r w:rsidRPr="009C1C05">
              <w:rPr>
                <w:b/>
                <w:lang w:val="ru-RU"/>
              </w:rPr>
              <w:t xml:space="preserve"> и </w:t>
            </w:r>
            <w:r>
              <w:rPr>
                <w:b/>
                <w:lang w:val="ru-RU"/>
              </w:rPr>
              <w:t xml:space="preserve">окончательным </w:t>
            </w:r>
            <w:r w:rsidRPr="009C1C05">
              <w:rPr>
                <w:b/>
                <w:lang w:val="ru-RU"/>
              </w:rPr>
              <w:t>завершени</w:t>
            </w:r>
            <w:r>
              <w:rPr>
                <w:b/>
                <w:lang w:val="ru-RU"/>
              </w:rPr>
              <w:t>ем</w:t>
            </w:r>
            <w:r w:rsidRPr="009C1C05">
              <w:rPr>
                <w:b/>
                <w:lang w:val="ru-RU"/>
              </w:rPr>
              <w:t xml:space="preserve"> был</w:t>
            </w:r>
            <w:r>
              <w:rPr>
                <w:b/>
                <w:lang w:val="ru-RU"/>
              </w:rPr>
              <w:t>о</w:t>
            </w:r>
            <w:r w:rsidRPr="009C1C05">
              <w:rPr>
                <w:b/>
                <w:lang w:val="ru-RU"/>
              </w:rPr>
              <w:t xml:space="preserve"> признан</w:t>
            </w:r>
            <w:r>
              <w:rPr>
                <w:b/>
                <w:lang w:val="ru-RU"/>
              </w:rPr>
              <w:t>о</w:t>
            </w:r>
            <w:r w:rsidRPr="009C1C05">
              <w:rPr>
                <w:b/>
                <w:lang w:val="ru-RU"/>
              </w:rPr>
              <w:t xml:space="preserve"> высшим руководством как точн</w:t>
            </w:r>
            <w:r>
              <w:rPr>
                <w:b/>
                <w:lang w:val="ru-RU"/>
              </w:rPr>
              <w:t>ое</w:t>
            </w:r>
            <w:r w:rsidRPr="009C1C05">
              <w:rPr>
                <w:b/>
                <w:lang w:val="ru-RU"/>
              </w:rPr>
              <w:t>.</w:t>
            </w:r>
          </w:p>
        </w:tc>
      </w:tr>
      <w:tr w:rsidR="001253E0" w:rsidRPr="00F45D4A" w:rsidTr="003D3449">
        <w:trPr>
          <w:trHeight w:val="1178"/>
        </w:trPr>
        <w:tc>
          <w:tcPr>
            <w:tcW w:w="1562" w:type="dxa"/>
            <w:vMerge w:val="restart"/>
            <w:shd w:val="clear" w:color="auto" w:fill="A3CAB8" w:themeFill="accent3" w:themeFillTint="99"/>
            <w:vAlign w:val="center"/>
          </w:tcPr>
          <w:p w:rsidR="001253E0" w:rsidRPr="00F45D4A" w:rsidRDefault="001253E0" w:rsidP="003D3449">
            <w:pPr>
              <w:spacing w:before="120" w:line="240" w:lineRule="auto"/>
              <w:rPr>
                <w:b/>
                <w:lang w:val="en-US"/>
              </w:rPr>
            </w:pPr>
            <w:r>
              <w:rPr>
                <w:b/>
                <w:lang w:val="ru-RU"/>
              </w:rPr>
              <w:t>Отчет утвержден</w:t>
            </w:r>
            <w:r w:rsidRPr="00F45D4A">
              <w:rPr>
                <w:b/>
                <w:lang w:val="en-US"/>
              </w:rPr>
              <w:t>: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253E0" w:rsidRPr="00F45D4A" w:rsidRDefault="003D3449" w:rsidP="003D3449">
            <w:pPr>
              <w:spacing w:before="12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t>Шпилевский Геннадий Станиславович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253E0" w:rsidRPr="00F45D4A" w:rsidRDefault="003D3449" w:rsidP="003D3449">
            <w:pPr>
              <w:spacing w:before="12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t>Главный инженер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253E0" w:rsidRPr="00D23841" w:rsidRDefault="00D23841" w:rsidP="003D3449">
            <w:pPr>
              <w:spacing w:before="120" w:line="240" w:lineRule="auto"/>
              <w:rPr>
                <w:b/>
                <w:i/>
                <w:lang w:val="en-US"/>
              </w:rPr>
            </w:pPr>
            <w:r w:rsidRPr="00D23841">
              <w:rPr>
                <w:b/>
                <w:i/>
                <w:lang w:val="ru-RU"/>
              </w:rPr>
              <w:t>21/06/2019</w:t>
            </w:r>
          </w:p>
        </w:tc>
      </w:tr>
      <w:tr w:rsidR="001253E0" w:rsidRPr="009C1C05" w:rsidTr="003D3449">
        <w:trPr>
          <w:trHeight w:val="413"/>
        </w:trPr>
        <w:tc>
          <w:tcPr>
            <w:tcW w:w="1562" w:type="dxa"/>
            <w:vMerge/>
            <w:shd w:val="clear" w:color="auto" w:fill="A3CAB8" w:themeFill="accent3" w:themeFillTint="99"/>
            <w:vAlign w:val="center"/>
          </w:tcPr>
          <w:p w:rsidR="001253E0" w:rsidRPr="00F45D4A" w:rsidRDefault="001253E0" w:rsidP="003D3449">
            <w:pPr>
              <w:spacing w:before="120" w:line="240" w:lineRule="auto"/>
              <w:rPr>
                <w:b/>
                <w:lang w:val="en-US"/>
              </w:rPr>
            </w:pPr>
          </w:p>
        </w:tc>
        <w:tc>
          <w:tcPr>
            <w:tcW w:w="3776" w:type="dxa"/>
            <w:shd w:val="clear" w:color="auto" w:fill="A3CAB8" w:themeFill="accent3" w:themeFillTint="99"/>
            <w:vAlign w:val="center"/>
          </w:tcPr>
          <w:p w:rsidR="001253E0" w:rsidRPr="009C1C05" w:rsidRDefault="001253E0" w:rsidP="003D3449">
            <w:pPr>
              <w:spacing w:before="12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Имя</w:t>
            </w:r>
          </w:p>
        </w:tc>
        <w:tc>
          <w:tcPr>
            <w:tcW w:w="2789" w:type="dxa"/>
            <w:shd w:val="clear" w:color="auto" w:fill="A3CAB8" w:themeFill="accent3" w:themeFillTint="99"/>
            <w:vAlign w:val="center"/>
          </w:tcPr>
          <w:p w:rsidR="001253E0" w:rsidRPr="009C1C05" w:rsidRDefault="001253E0" w:rsidP="003D3449">
            <w:pPr>
              <w:spacing w:before="12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</w:t>
            </w:r>
          </w:p>
        </w:tc>
        <w:tc>
          <w:tcPr>
            <w:tcW w:w="1727" w:type="dxa"/>
            <w:shd w:val="clear" w:color="auto" w:fill="A3CAB8" w:themeFill="accent3" w:themeFillTint="99"/>
            <w:vAlign w:val="center"/>
          </w:tcPr>
          <w:p w:rsidR="001253E0" w:rsidRPr="009C1C05" w:rsidRDefault="001253E0" w:rsidP="003D3449">
            <w:pPr>
              <w:spacing w:before="12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</w:tr>
      <w:tr w:rsidR="001253E0" w:rsidRPr="00F45D4A" w:rsidTr="003D3449">
        <w:trPr>
          <w:trHeight w:val="1178"/>
        </w:trPr>
        <w:tc>
          <w:tcPr>
            <w:tcW w:w="1562" w:type="dxa"/>
            <w:vMerge w:val="restart"/>
            <w:shd w:val="clear" w:color="auto" w:fill="A3CAB8" w:themeFill="accent3" w:themeFillTint="99"/>
            <w:vAlign w:val="center"/>
          </w:tcPr>
          <w:p w:rsidR="001253E0" w:rsidRPr="00F45D4A" w:rsidRDefault="001253E0" w:rsidP="003D3449">
            <w:pPr>
              <w:spacing w:before="120" w:line="240" w:lineRule="auto"/>
              <w:rPr>
                <w:b/>
                <w:lang w:val="en-US"/>
              </w:rPr>
            </w:pPr>
            <w:r>
              <w:rPr>
                <w:b/>
                <w:lang w:val="ru-RU"/>
              </w:rPr>
              <w:t>Отчет утвержден</w:t>
            </w:r>
            <w:r w:rsidRPr="00F45D4A">
              <w:rPr>
                <w:b/>
                <w:lang w:val="en-US"/>
              </w:rPr>
              <w:t>: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253E0" w:rsidRPr="00F45D4A" w:rsidRDefault="003D3449" w:rsidP="003D3449">
            <w:pPr>
              <w:spacing w:before="12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t>Кажушко Геннадий Викентьевич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253E0" w:rsidRPr="00D23841" w:rsidRDefault="003D3449" w:rsidP="003D3449">
            <w:pPr>
              <w:spacing w:before="120" w:line="240" w:lineRule="auto"/>
              <w:rPr>
                <w:b/>
                <w:i/>
                <w:lang w:val="en-US"/>
              </w:rPr>
            </w:pPr>
            <w:r w:rsidRPr="00D23841">
              <w:rPr>
                <w:b/>
                <w:i/>
                <w:lang w:val="ru-RU"/>
              </w:rPr>
              <w:t>Директор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253E0" w:rsidRPr="00D23841" w:rsidRDefault="00D23841" w:rsidP="003D3449">
            <w:pPr>
              <w:spacing w:before="120" w:line="240" w:lineRule="auto"/>
              <w:rPr>
                <w:b/>
                <w:i/>
                <w:lang w:val="en-US"/>
              </w:rPr>
            </w:pPr>
            <w:r w:rsidRPr="00D23841">
              <w:rPr>
                <w:b/>
                <w:i/>
                <w:lang w:val="ru-RU"/>
              </w:rPr>
              <w:t>21/06/2019</w:t>
            </w:r>
          </w:p>
        </w:tc>
      </w:tr>
      <w:tr w:rsidR="001253E0" w:rsidRPr="00F45D4A" w:rsidTr="003D3449">
        <w:trPr>
          <w:trHeight w:val="413"/>
        </w:trPr>
        <w:tc>
          <w:tcPr>
            <w:tcW w:w="1562" w:type="dxa"/>
            <w:vMerge/>
            <w:shd w:val="clear" w:color="auto" w:fill="A3CAB8" w:themeFill="accent3" w:themeFillTint="99"/>
            <w:vAlign w:val="center"/>
          </w:tcPr>
          <w:p w:rsidR="001253E0" w:rsidRPr="00F45D4A" w:rsidRDefault="001253E0" w:rsidP="003D3449">
            <w:pPr>
              <w:spacing w:before="120" w:line="240" w:lineRule="auto"/>
              <w:rPr>
                <w:b/>
                <w:lang w:val="en-US"/>
              </w:rPr>
            </w:pPr>
          </w:p>
        </w:tc>
        <w:tc>
          <w:tcPr>
            <w:tcW w:w="3776" w:type="dxa"/>
            <w:shd w:val="clear" w:color="auto" w:fill="A3CAB8" w:themeFill="accent3" w:themeFillTint="99"/>
            <w:vAlign w:val="center"/>
          </w:tcPr>
          <w:p w:rsidR="001253E0" w:rsidRPr="00F45D4A" w:rsidRDefault="001253E0" w:rsidP="003D3449">
            <w:pPr>
              <w:spacing w:before="120" w:line="240" w:lineRule="auto"/>
              <w:rPr>
                <w:b/>
                <w:lang w:val="en-US"/>
              </w:rPr>
            </w:pPr>
            <w:r>
              <w:rPr>
                <w:b/>
                <w:lang w:val="ru-RU"/>
              </w:rPr>
              <w:t>Имя</w:t>
            </w:r>
          </w:p>
        </w:tc>
        <w:tc>
          <w:tcPr>
            <w:tcW w:w="2789" w:type="dxa"/>
            <w:shd w:val="clear" w:color="auto" w:fill="A3CAB8" w:themeFill="accent3" w:themeFillTint="99"/>
            <w:vAlign w:val="center"/>
          </w:tcPr>
          <w:p w:rsidR="001253E0" w:rsidRPr="00F45D4A" w:rsidRDefault="001253E0" w:rsidP="003D3449">
            <w:pPr>
              <w:spacing w:before="120" w:line="240" w:lineRule="auto"/>
              <w:rPr>
                <w:b/>
                <w:lang w:val="en-US"/>
              </w:rPr>
            </w:pPr>
            <w:r>
              <w:rPr>
                <w:b/>
                <w:lang w:val="ru-RU"/>
              </w:rPr>
              <w:t>Должность</w:t>
            </w:r>
          </w:p>
        </w:tc>
        <w:tc>
          <w:tcPr>
            <w:tcW w:w="1727" w:type="dxa"/>
            <w:shd w:val="clear" w:color="auto" w:fill="A3CAB8" w:themeFill="accent3" w:themeFillTint="99"/>
            <w:vAlign w:val="center"/>
          </w:tcPr>
          <w:p w:rsidR="001253E0" w:rsidRPr="00F45D4A" w:rsidRDefault="001253E0" w:rsidP="003D3449">
            <w:pPr>
              <w:spacing w:before="120" w:line="240" w:lineRule="auto"/>
              <w:rPr>
                <w:b/>
                <w:lang w:val="en-US"/>
              </w:rPr>
            </w:pPr>
            <w:r>
              <w:rPr>
                <w:b/>
                <w:lang w:val="ru-RU"/>
              </w:rPr>
              <w:t>Дата</w:t>
            </w:r>
          </w:p>
        </w:tc>
      </w:tr>
    </w:tbl>
    <w:p w:rsidR="00F45D4A" w:rsidRDefault="00F45D4A" w:rsidP="00F45D4A"/>
    <w:p w:rsidR="00F45D4A" w:rsidRDefault="00997F79" w:rsidP="00F45D4A">
      <w:pPr>
        <w:pStyle w:val="1"/>
      </w:pPr>
      <w:bookmarkStart w:id="35" w:name="_Toc450721959"/>
      <w:r>
        <w:rPr>
          <w:lang w:val="ru-RU"/>
        </w:rPr>
        <w:lastRenderedPageBreak/>
        <w:t>Обновления</w:t>
      </w:r>
      <w:bookmarkEnd w:id="35"/>
    </w:p>
    <w:p w:rsidR="00997F79" w:rsidRPr="00997F79" w:rsidRDefault="00BC1D60" w:rsidP="00F45D4A">
      <w:pPr>
        <w:rPr>
          <w:lang w:val="ru-RU"/>
        </w:rPr>
      </w:pPr>
      <w:r>
        <w:rPr>
          <w:lang w:val="ru-RU"/>
        </w:rPr>
        <w:t>Не применимо.</w:t>
      </w:r>
    </w:p>
    <w:p w:rsidR="00F45D4A" w:rsidRPr="001F60FC" w:rsidRDefault="001F60FC" w:rsidP="00F45D4A">
      <w:pPr>
        <w:pStyle w:val="2"/>
        <w:rPr>
          <w:lang w:val="ru-RU"/>
        </w:rPr>
      </w:pPr>
      <w:bookmarkStart w:id="36" w:name="_Toc450721960"/>
      <w:r>
        <w:rPr>
          <w:lang w:val="ru-RU"/>
        </w:rPr>
        <w:t>Значительные изменения в ресурсной базе</w:t>
      </w:r>
      <w:bookmarkEnd w:id="36"/>
    </w:p>
    <w:p w:rsidR="00BC1D60" w:rsidRPr="00997F79" w:rsidRDefault="00BC1D60" w:rsidP="00BC1D60">
      <w:pPr>
        <w:rPr>
          <w:lang w:val="ru-RU"/>
        </w:rPr>
      </w:pPr>
      <w:r>
        <w:rPr>
          <w:lang w:val="ru-RU"/>
        </w:rPr>
        <w:t>Не применимо.</w:t>
      </w:r>
    </w:p>
    <w:p w:rsidR="00F45D4A" w:rsidRPr="001F60FC" w:rsidRDefault="001F60FC" w:rsidP="00F45D4A">
      <w:pPr>
        <w:pStyle w:val="2"/>
        <w:rPr>
          <w:lang w:val="ru-RU"/>
        </w:rPr>
      </w:pPr>
      <w:bookmarkStart w:id="37" w:name="_Toc450721961"/>
      <w:r w:rsidRPr="00346412">
        <w:rPr>
          <w:color w:val="558C72" w:themeColor="accent1" w:themeShade="80"/>
          <w:lang w:val="ru-RU"/>
        </w:rPr>
        <w:t>Эффективность предыдущих мер по снижению уровня</w:t>
      </w:r>
      <w:r>
        <w:rPr>
          <w:lang w:val="ru-RU"/>
        </w:rPr>
        <w:t xml:space="preserve"> риска</w:t>
      </w:r>
      <w:bookmarkEnd w:id="37"/>
    </w:p>
    <w:p w:rsidR="00BC1D60" w:rsidRPr="00997F79" w:rsidRDefault="00BC1D60" w:rsidP="00BC1D60">
      <w:pPr>
        <w:rPr>
          <w:lang w:val="ru-RU"/>
        </w:rPr>
      </w:pPr>
      <w:r>
        <w:rPr>
          <w:lang w:val="ru-RU"/>
        </w:rPr>
        <w:t>Не применимо.</w:t>
      </w:r>
    </w:p>
    <w:p w:rsidR="00F45D4A" w:rsidRPr="001F60FC" w:rsidRDefault="001F60FC" w:rsidP="00F45D4A">
      <w:pPr>
        <w:pStyle w:val="2"/>
        <w:rPr>
          <w:lang w:val="ru-RU"/>
        </w:rPr>
      </w:pPr>
      <w:bookmarkStart w:id="38" w:name="_Toc450721962"/>
      <w:r>
        <w:rPr>
          <w:lang w:val="ru-RU"/>
        </w:rPr>
        <w:t>Новые уровни риска и меры по их снижению</w:t>
      </w:r>
      <w:bookmarkEnd w:id="38"/>
    </w:p>
    <w:p w:rsidR="00BC1D60" w:rsidRPr="00997F79" w:rsidRDefault="00BC1D60" w:rsidP="00BC1D60">
      <w:pPr>
        <w:rPr>
          <w:lang w:val="ru-RU"/>
        </w:rPr>
      </w:pPr>
      <w:r>
        <w:rPr>
          <w:lang w:val="ru-RU"/>
        </w:rPr>
        <w:t>Не применимо.</w:t>
      </w:r>
    </w:p>
    <w:p w:rsidR="00F45D4A" w:rsidRPr="001F60FC" w:rsidRDefault="001F60FC" w:rsidP="00F45D4A">
      <w:pPr>
        <w:pStyle w:val="2"/>
        <w:rPr>
          <w:lang w:val="ru-RU"/>
        </w:rPr>
      </w:pPr>
      <w:bookmarkStart w:id="39" w:name="_Toc450721963"/>
      <w:r>
        <w:rPr>
          <w:lang w:val="ru-RU"/>
        </w:rPr>
        <w:t xml:space="preserve">Актуальные данные по сырью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последние 12 месяцев</w:t>
      </w:r>
      <w:bookmarkEnd w:id="39"/>
    </w:p>
    <w:p w:rsidR="00BC1D60" w:rsidRPr="00997F79" w:rsidRDefault="00BD5536" w:rsidP="00BC1D60">
      <w:pPr>
        <w:rPr>
          <w:lang w:val="ru-RU"/>
        </w:rPr>
      </w:pPr>
      <w:r>
        <w:rPr>
          <w:lang w:val="ru-RU"/>
        </w:rPr>
        <w:t>6</w:t>
      </w:r>
      <w:r w:rsidR="00EA23F4">
        <w:rPr>
          <w:lang w:val="ru-RU"/>
        </w:rPr>
        <w:t> 465.60</w:t>
      </w:r>
      <w:r>
        <w:rPr>
          <w:lang w:val="ru-RU"/>
        </w:rPr>
        <w:t xml:space="preserve"> </w:t>
      </w:r>
      <w:r w:rsidR="00137A83">
        <w:rPr>
          <w:lang w:val="ru-RU"/>
        </w:rPr>
        <w:t xml:space="preserve"> тонн за год</w:t>
      </w:r>
    </w:p>
    <w:p w:rsidR="001F60FC" w:rsidRPr="00346412" w:rsidRDefault="001F60FC" w:rsidP="001F60FC">
      <w:pPr>
        <w:pStyle w:val="2"/>
        <w:rPr>
          <w:color w:val="558C72" w:themeColor="accent1" w:themeShade="80"/>
          <w:lang w:val="ru-RU"/>
        </w:rPr>
      </w:pPr>
      <w:bookmarkStart w:id="40" w:name="_Toc450721964"/>
      <w:r w:rsidRPr="00346412">
        <w:rPr>
          <w:color w:val="558C72" w:themeColor="accent1" w:themeShade="80"/>
          <w:lang w:val="ru-RU"/>
        </w:rPr>
        <w:t xml:space="preserve">Ожидаемые данные по сырью </w:t>
      </w:r>
      <w:proofErr w:type="gramStart"/>
      <w:r w:rsidRPr="00346412">
        <w:rPr>
          <w:color w:val="558C72" w:themeColor="accent1" w:themeShade="80"/>
          <w:lang w:val="ru-RU"/>
        </w:rPr>
        <w:t>за</w:t>
      </w:r>
      <w:proofErr w:type="gramEnd"/>
      <w:r w:rsidRPr="00346412">
        <w:rPr>
          <w:color w:val="558C72" w:themeColor="accent1" w:themeShade="80"/>
          <w:lang w:val="ru-RU"/>
        </w:rPr>
        <w:t xml:space="preserve"> </w:t>
      </w:r>
      <w:r w:rsidR="00D65B16" w:rsidRPr="00346412">
        <w:rPr>
          <w:color w:val="558C72" w:themeColor="accent1" w:themeShade="80"/>
          <w:lang w:val="ru-RU"/>
        </w:rPr>
        <w:t>следующие</w:t>
      </w:r>
      <w:r w:rsidRPr="00346412">
        <w:rPr>
          <w:color w:val="558C72" w:themeColor="accent1" w:themeShade="80"/>
          <w:lang w:val="ru-RU"/>
        </w:rPr>
        <w:t xml:space="preserve"> 12 месяцев</w:t>
      </w:r>
      <w:bookmarkEnd w:id="40"/>
    </w:p>
    <w:p w:rsidR="00BC1D60" w:rsidRPr="00BC1D60" w:rsidRDefault="00EA23F4" w:rsidP="00BC1D60">
      <w:pPr>
        <w:rPr>
          <w:lang w:val="ru-RU"/>
        </w:rPr>
      </w:pPr>
      <w:r>
        <w:rPr>
          <w:lang w:val="ru-RU"/>
        </w:rPr>
        <w:t>В 2019</w:t>
      </w:r>
      <w:r w:rsidR="00BC1D60" w:rsidRPr="00BC1D60">
        <w:rPr>
          <w:lang w:val="ru-RU"/>
        </w:rPr>
        <w:t xml:space="preserve"> году планируется получение</w:t>
      </w:r>
      <w:r w:rsidR="005B4EF7">
        <w:rPr>
          <w:lang w:val="ru-RU"/>
        </w:rPr>
        <w:t>, использование</w:t>
      </w:r>
      <w:r w:rsidR="00BD5536">
        <w:rPr>
          <w:lang w:val="ru-RU"/>
        </w:rPr>
        <w:t xml:space="preserve"> и переработка </w:t>
      </w:r>
      <w:r>
        <w:rPr>
          <w:color w:val="17F88C" w:themeColor="text2" w:themeTint="99"/>
          <w:lang w:val="ru-RU"/>
        </w:rPr>
        <w:t xml:space="preserve"> </w:t>
      </w:r>
      <w:r w:rsidRPr="00EA23F4">
        <w:rPr>
          <w:lang w:val="ru-RU"/>
        </w:rPr>
        <w:t>8100</w:t>
      </w:r>
      <w:r>
        <w:rPr>
          <w:color w:val="17F88C" w:themeColor="text2" w:themeTint="99"/>
          <w:lang w:val="ru-RU"/>
        </w:rPr>
        <w:t xml:space="preserve"> </w:t>
      </w:r>
      <w:r w:rsidR="00BC1D60" w:rsidRPr="00BC1D60">
        <w:rPr>
          <w:lang w:val="ru-RU"/>
        </w:rPr>
        <w:t xml:space="preserve"> тонн опилок.</w:t>
      </w:r>
    </w:p>
    <w:p w:rsidR="00BC1D60" w:rsidRPr="00BC1D60" w:rsidRDefault="00BC1D60" w:rsidP="00BC1D60">
      <w:pPr>
        <w:ind w:left="567" w:firstLine="567"/>
        <w:rPr>
          <w:color w:val="00B050"/>
          <w:lang w:val="ru-RU"/>
        </w:rPr>
      </w:pPr>
    </w:p>
    <w:p w:rsidR="001F611D" w:rsidRPr="00BC1D60" w:rsidRDefault="001F611D" w:rsidP="00BC1D60">
      <w:pPr>
        <w:rPr>
          <w:i/>
          <w:lang w:val="ru-RU"/>
        </w:rPr>
      </w:pPr>
    </w:p>
    <w:sectPr w:rsidR="001F611D" w:rsidRPr="00BC1D60" w:rsidSect="00ED692D">
      <w:headerReference w:type="even" r:id="rId19"/>
      <w:headerReference w:type="first" r:id="rId20"/>
      <w:pgSz w:w="11906" w:h="16838"/>
      <w:pgMar w:top="2370" w:right="1134" w:bottom="1134" w:left="1134" w:header="113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0B" w:rsidRDefault="00A5550B" w:rsidP="004309B9">
      <w:r>
        <w:separator/>
      </w:r>
    </w:p>
  </w:endnote>
  <w:endnote w:type="continuationSeparator" w:id="0">
    <w:p w:rsidR="00A5550B" w:rsidRDefault="00A5550B" w:rsidP="0043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1C" w:rsidRPr="0060397E" w:rsidRDefault="00067A1C" w:rsidP="004309B9">
    <w:pPr>
      <w:pStyle w:val="a6"/>
    </w:pPr>
    <w:r w:rsidRPr="0060397E">
      <w:t xml:space="preserve">Page </w:t>
    </w:r>
    <w:sdt>
      <w:sdtPr>
        <w:id w:val="543082506"/>
        <w:docPartObj>
          <w:docPartGallery w:val="Page Numbers (Bottom of Page)"/>
          <w:docPartUnique/>
        </w:docPartObj>
      </w:sdtPr>
      <w:sdtEndPr/>
      <w:sdtContent>
        <w:r w:rsidR="007D474B">
          <w:fldChar w:fldCharType="begin"/>
        </w:r>
        <w:r w:rsidR="007D474B">
          <w:instrText xml:space="preserve"> PAGE   \* MERGEFORMAT </w:instrText>
        </w:r>
        <w:r w:rsidR="007D474B">
          <w:fldChar w:fldCharType="separate"/>
        </w:r>
        <w:r w:rsidR="009A741A">
          <w:rPr>
            <w:noProof/>
          </w:rPr>
          <w:t>20</w:t>
        </w:r>
        <w:r w:rsidR="007D474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1C" w:rsidRDefault="00067A1C" w:rsidP="004309B9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-71755</wp:posOffset>
          </wp:positionH>
          <wp:positionV relativeFrom="page">
            <wp:align>bottom</wp:align>
          </wp:positionV>
          <wp:extent cx="7648575" cy="1209675"/>
          <wp:effectExtent l="19050" t="0" r="9525" b="0"/>
          <wp:wrapNone/>
          <wp:docPr id="29" name="Picture 29" descr="C:\Users\jon.hurley.SWITCH\Desktop\sbpfoot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n.hurley.SWITCH\Desktop\sbpfooter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6D4B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-46990</wp:posOffset>
          </wp:positionH>
          <wp:positionV relativeFrom="page">
            <wp:posOffset>8809990</wp:posOffset>
          </wp:positionV>
          <wp:extent cx="7610475" cy="733425"/>
          <wp:effectExtent l="19050" t="0" r="9525" b="0"/>
          <wp:wrapNone/>
          <wp:docPr id="30" name="Picture 6" descr="C:\Users\jon.hurley.SWITCH\Desktop\clou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n.hurley.SWITCH\Desktop\cloud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0B" w:rsidRDefault="00A5550B" w:rsidP="004309B9">
      <w:r>
        <w:separator/>
      </w:r>
    </w:p>
  </w:footnote>
  <w:footnote w:type="continuationSeparator" w:id="0">
    <w:p w:rsidR="00A5550B" w:rsidRDefault="00A5550B" w:rsidP="0043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1C" w:rsidRPr="008104ED" w:rsidRDefault="00067A1C" w:rsidP="004309B9">
    <w:pPr>
      <w:pStyle w:val="a4"/>
      <w:rPr>
        <w:rFonts w:asciiTheme="majorHAnsi" w:hAnsiTheme="majorHAnsi"/>
        <w:color w:val="8AB059"/>
        <w:sz w:val="28"/>
        <w:szCs w:val="28"/>
      </w:rPr>
    </w:pPr>
    <w:r w:rsidRPr="008104ED">
      <w:rPr>
        <w:rFonts w:asciiTheme="majorHAnsi" w:hAnsiTheme="majorHAnsi"/>
        <w:noProof/>
        <w:color w:val="8AB059"/>
        <w:sz w:val="28"/>
        <w:szCs w:val="28"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5553075</wp:posOffset>
          </wp:positionH>
          <wp:positionV relativeFrom="page">
            <wp:posOffset>323850</wp:posOffset>
          </wp:positionV>
          <wp:extent cx="1504950" cy="590550"/>
          <wp:effectExtent l="19050" t="0" r="0" b="0"/>
          <wp:wrapNone/>
          <wp:docPr id="26" name="Picture 7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04ED">
      <w:rPr>
        <w:rFonts w:asciiTheme="majorHAnsi" w:hAnsiTheme="majorHAnsi"/>
        <w:noProof/>
        <w:color w:val="8AB059"/>
        <w:sz w:val="28"/>
        <w:szCs w:val="28"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-518160</wp:posOffset>
          </wp:positionH>
          <wp:positionV relativeFrom="page">
            <wp:posOffset>-381635</wp:posOffset>
          </wp:positionV>
          <wp:extent cx="8543925" cy="819150"/>
          <wp:effectExtent l="19050" t="0" r="9525" b="0"/>
          <wp:wrapNone/>
          <wp:docPr id="27" name="Picture 8" descr="C:\Users\jon.hurley.SWITCH\Desktop\clou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on.hurley.SWITCH\Desktop\cloud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39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50B">
      <w:rPr>
        <w:rFonts w:asciiTheme="majorHAnsi" w:hAnsiTheme="majorHAnsi"/>
        <w:noProof/>
        <w:color w:val="8AB059"/>
        <w:sz w:val="28"/>
        <w:szCs w:val="28"/>
        <w:lang w:val="ru-RU" w:eastAsia="ru-RU"/>
      </w:rPr>
      <w:pict>
        <v:rect id="Rectangle 2" o:spid="_x0000_s2051" style="position:absolute;margin-left:0;margin-top:-.75pt;width:595.3pt;height:85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" fillcolor="#d9e9e2" stroked="f">
          <w10:wrap anchorx="page" anchory="page"/>
        </v:rect>
      </w:pict>
    </w:r>
    <w:r w:rsidRPr="008104ED">
      <w:rPr>
        <w:rFonts w:asciiTheme="majorHAnsi" w:hAnsiTheme="majorHAnsi"/>
        <w:color w:val="8AB059"/>
        <w:sz w:val="28"/>
        <w:szCs w:val="28"/>
      </w:rPr>
      <w:t>Focusing on sustainable sourcing solutions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1C" w:rsidRDefault="00A5550B" w:rsidP="004309B9">
    <w:pPr>
      <w:pStyle w:val="a4"/>
    </w:pPr>
    <w:r>
      <w:rPr>
        <w:noProof/>
        <w:lang w:val="ru-RU" w:eastAsia="ru-RU"/>
      </w:rPr>
      <w:pict>
        <v:rect id="Rectangle 1" o:spid="_x0000_s2050" style="position:absolute;margin-left:0;margin-top:0;width:599.25pt;height:846.75pt;z-index:25165721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" fillcolor="#d9e9e2" stroked="f">
          <w10:wrap anchorx="page" anchory="page"/>
        </v:rect>
      </w:pict>
    </w:r>
    <w:r w:rsidR="00067A1C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4208780</wp:posOffset>
          </wp:positionH>
          <wp:positionV relativeFrom="page">
            <wp:posOffset>446405</wp:posOffset>
          </wp:positionV>
          <wp:extent cx="2857500" cy="1114425"/>
          <wp:effectExtent l="19050" t="0" r="0" b="0"/>
          <wp:wrapNone/>
          <wp:docPr id="28" name="Picture 28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1C" w:rsidRDefault="00067A1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1C" w:rsidRDefault="00A5550B" w:rsidP="004309B9">
    <w:pPr>
      <w:pStyle w:val="a4"/>
    </w:pPr>
    <w:r>
      <w:rPr>
        <w:noProof/>
        <w:lang w:val="ru-RU" w:eastAsia="ru-RU"/>
      </w:rPr>
      <w:pict>
        <v:rect id="Rectangle 3" o:spid="_x0000_s2049" style="position:absolute;margin-left:0;margin-top:0;width:599.25pt;height:846.7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" fillcolor="#d9e9e2" stroked="f">
          <w10:wrap anchorx="page" anchory="page"/>
        </v:rect>
      </w:pict>
    </w:r>
    <w:r w:rsidR="00067A1C"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4208780</wp:posOffset>
          </wp:positionH>
          <wp:positionV relativeFrom="page">
            <wp:posOffset>446405</wp:posOffset>
          </wp:positionV>
          <wp:extent cx="2857500" cy="1114425"/>
          <wp:effectExtent l="19050" t="0" r="0" b="0"/>
          <wp:wrapNone/>
          <wp:docPr id="12" name="Picture 2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CDB"/>
    <w:multiLevelType w:val="hybridMultilevel"/>
    <w:tmpl w:val="A68E116E"/>
    <w:lvl w:ilvl="0" w:tplc="F3049C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6D1A"/>
    <w:multiLevelType w:val="hybridMultilevel"/>
    <w:tmpl w:val="E0803F0A"/>
    <w:lvl w:ilvl="0" w:tplc="B636CDA8">
      <w:start w:val="1"/>
      <w:numFmt w:val="bullet"/>
      <w:pStyle w:val="Intented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794E40"/>
    <w:multiLevelType w:val="hybridMultilevel"/>
    <w:tmpl w:val="A2F05586"/>
    <w:lvl w:ilvl="0" w:tplc="979CA71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019F9"/>
    <w:multiLevelType w:val="multilevel"/>
    <w:tmpl w:val="65387B76"/>
    <w:styleLink w:val="SB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027C2A"/>
    <w:multiLevelType w:val="hybridMultilevel"/>
    <w:tmpl w:val="F4A4DA64"/>
    <w:lvl w:ilvl="0" w:tplc="445CEC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7A1E5736">
      <w:start w:val="1"/>
      <w:numFmt w:val="decimal"/>
      <w:lvlText w:val="%3.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D0D51"/>
    <w:multiLevelType w:val="hybridMultilevel"/>
    <w:tmpl w:val="80D04B9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28F823D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F5120"/>
    <w:multiLevelType w:val="hybridMultilevel"/>
    <w:tmpl w:val="4058C57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9F854F4"/>
    <w:multiLevelType w:val="hybridMultilevel"/>
    <w:tmpl w:val="9F0C386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B67C11"/>
    <w:multiLevelType w:val="hybridMultilevel"/>
    <w:tmpl w:val="F222BE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770B85"/>
    <w:multiLevelType w:val="hybridMultilevel"/>
    <w:tmpl w:val="3E861D50"/>
    <w:lvl w:ilvl="0" w:tplc="EC56562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324F5"/>
    <w:multiLevelType w:val="hybridMultilevel"/>
    <w:tmpl w:val="22602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75223C"/>
    <w:multiLevelType w:val="hybridMultilevel"/>
    <w:tmpl w:val="04B04A7A"/>
    <w:lvl w:ilvl="0" w:tplc="169250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E8255D"/>
    <w:multiLevelType w:val="hybridMultilevel"/>
    <w:tmpl w:val="45960FAE"/>
    <w:lvl w:ilvl="0" w:tplc="DAFC800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520FC"/>
    <w:multiLevelType w:val="hybridMultilevel"/>
    <w:tmpl w:val="D0921806"/>
    <w:lvl w:ilvl="0" w:tplc="D200DD42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7C53A8"/>
    <w:multiLevelType w:val="hybridMultilevel"/>
    <w:tmpl w:val="EC6A66AA"/>
    <w:lvl w:ilvl="0" w:tplc="E67A9BA8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5C73E5"/>
    <w:multiLevelType w:val="multilevel"/>
    <w:tmpl w:val="CFF6B8B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2436AA2"/>
    <w:multiLevelType w:val="hybridMultilevel"/>
    <w:tmpl w:val="53BCE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45CEC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F5F7A"/>
    <w:multiLevelType w:val="hybridMultilevel"/>
    <w:tmpl w:val="416C1E38"/>
    <w:lvl w:ilvl="0" w:tplc="5F3865F8">
      <w:start w:val="10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8454C16"/>
    <w:multiLevelType w:val="hybridMultilevel"/>
    <w:tmpl w:val="593C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4EEF"/>
    <w:multiLevelType w:val="hybridMultilevel"/>
    <w:tmpl w:val="CC7AF41A"/>
    <w:lvl w:ilvl="0" w:tplc="445CEC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15"/>
  </w:num>
  <w:num w:numId="12">
    <w:abstractNumId w:val="9"/>
  </w:num>
  <w:num w:numId="13">
    <w:abstractNumId w:val="18"/>
  </w:num>
  <w:num w:numId="14">
    <w:abstractNumId w:val="5"/>
  </w:num>
  <w:num w:numId="15">
    <w:abstractNumId w:val="11"/>
  </w:num>
  <w:num w:numId="16">
    <w:abstractNumId w:val="13"/>
  </w:num>
  <w:num w:numId="17">
    <w:abstractNumId w:val="17"/>
  </w:num>
  <w:num w:numId="18">
    <w:abstractNumId w:val="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39C"/>
    <w:rsid w:val="00052E4F"/>
    <w:rsid w:val="000600A8"/>
    <w:rsid w:val="00067A1C"/>
    <w:rsid w:val="0007011D"/>
    <w:rsid w:val="0007597E"/>
    <w:rsid w:val="00076A39"/>
    <w:rsid w:val="0008423E"/>
    <w:rsid w:val="0008560F"/>
    <w:rsid w:val="000D0359"/>
    <w:rsid w:val="000D296E"/>
    <w:rsid w:val="000D7599"/>
    <w:rsid w:val="000F1E79"/>
    <w:rsid w:val="000F72D0"/>
    <w:rsid w:val="00123403"/>
    <w:rsid w:val="001253E0"/>
    <w:rsid w:val="00135273"/>
    <w:rsid w:val="00137A83"/>
    <w:rsid w:val="00175C92"/>
    <w:rsid w:val="00176F6E"/>
    <w:rsid w:val="00193ED7"/>
    <w:rsid w:val="001978B4"/>
    <w:rsid w:val="001A4522"/>
    <w:rsid w:val="001B4337"/>
    <w:rsid w:val="001D3991"/>
    <w:rsid w:val="001F4F98"/>
    <w:rsid w:val="001F60FC"/>
    <w:rsid w:val="001F611D"/>
    <w:rsid w:val="00215AE6"/>
    <w:rsid w:val="002325DF"/>
    <w:rsid w:val="00267866"/>
    <w:rsid w:val="00274193"/>
    <w:rsid w:val="00281F96"/>
    <w:rsid w:val="002940FA"/>
    <w:rsid w:val="002A4AE8"/>
    <w:rsid w:val="002B5401"/>
    <w:rsid w:val="002D04DE"/>
    <w:rsid w:val="00301241"/>
    <w:rsid w:val="00322B10"/>
    <w:rsid w:val="00330F97"/>
    <w:rsid w:val="00346412"/>
    <w:rsid w:val="00352EF2"/>
    <w:rsid w:val="00360FA4"/>
    <w:rsid w:val="003725C1"/>
    <w:rsid w:val="003A3AF6"/>
    <w:rsid w:val="003C0D23"/>
    <w:rsid w:val="003C7062"/>
    <w:rsid w:val="003D3449"/>
    <w:rsid w:val="003D3CE0"/>
    <w:rsid w:val="003D506F"/>
    <w:rsid w:val="003E527D"/>
    <w:rsid w:val="0041219C"/>
    <w:rsid w:val="004309B9"/>
    <w:rsid w:val="0043125E"/>
    <w:rsid w:val="004324E3"/>
    <w:rsid w:val="00433E2D"/>
    <w:rsid w:val="00437E4D"/>
    <w:rsid w:val="00440544"/>
    <w:rsid w:val="004471AF"/>
    <w:rsid w:val="00477497"/>
    <w:rsid w:val="00477B62"/>
    <w:rsid w:val="00484668"/>
    <w:rsid w:val="004A0818"/>
    <w:rsid w:val="004B0FB8"/>
    <w:rsid w:val="004B6A26"/>
    <w:rsid w:val="004C0072"/>
    <w:rsid w:val="004C6380"/>
    <w:rsid w:val="004D4AA8"/>
    <w:rsid w:val="004E582D"/>
    <w:rsid w:val="00510492"/>
    <w:rsid w:val="00524AED"/>
    <w:rsid w:val="00543AEE"/>
    <w:rsid w:val="00544AD8"/>
    <w:rsid w:val="00545292"/>
    <w:rsid w:val="005734BC"/>
    <w:rsid w:val="00582C33"/>
    <w:rsid w:val="00587001"/>
    <w:rsid w:val="00597250"/>
    <w:rsid w:val="00597F6A"/>
    <w:rsid w:val="005B0A2B"/>
    <w:rsid w:val="005B1DFF"/>
    <w:rsid w:val="005B4EF7"/>
    <w:rsid w:val="005C467A"/>
    <w:rsid w:val="005D488C"/>
    <w:rsid w:val="005D4890"/>
    <w:rsid w:val="005F6BDB"/>
    <w:rsid w:val="0060397E"/>
    <w:rsid w:val="006175B3"/>
    <w:rsid w:val="0062601B"/>
    <w:rsid w:val="00627A28"/>
    <w:rsid w:val="0063511F"/>
    <w:rsid w:val="00675273"/>
    <w:rsid w:val="00677CD3"/>
    <w:rsid w:val="0069228E"/>
    <w:rsid w:val="00694124"/>
    <w:rsid w:val="006F609D"/>
    <w:rsid w:val="007271EA"/>
    <w:rsid w:val="0072722D"/>
    <w:rsid w:val="00743A88"/>
    <w:rsid w:val="00744450"/>
    <w:rsid w:val="00756A34"/>
    <w:rsid w:val="0076021C"/>
    <w:rsid w:val="007624A0"/>
    <w:rsid w:val="00772BEF"/>
    <w:rsid w:val="00781DCB"/>
    <w:rsid w:val="0079210F"/>
    <w:rsid w:val="00794A52"/>
    <w:rsid w:val="007A1B38"/>
    <w:rsid w:val="007A4175"/>
    <w:rsid w:val="007A56C4"/>
    <w:rsid w:val="007B4310"/>
    <w:rsid w:val="007C4E3A"/>
    <w:rsid w:val="007C5EAE"/>
    <w:rsid w:val="007D474B"/>
    <w:rsid w:val="00807081"/>
    <w:rsid w:val="008104ED"/>
    <w:rsid w:val="00813162"/>
    <w:rsid w:val="0081425F"/>
    <w:rsid w:val="0081780F"/>
    <w:rsid w:val="0082470D"/>
    <w:rsid w:val="00825D2B"/>
    <w:rsid w:val="00827798"/>
    <w:rsid w:val="0083069A"/>
    <w:rsid w:val="00836D4B"/>
    <w:rsid w:val="00863474"/>
    <w:rsid w:val="008679BB"/>
    <w:rsid w:val="00872E2A"/>
    <w:rsid w:val="00876F37"/>
    <w:rsid w:val="008907BD"/>
    <w:rsid w:val="008917C5"/>
    <w:rsid w:val="00891EE5"/>
    <w:rsid w:val="008A4430"/>
    <w:rsid w:val="008A46E4"/>
    <w:rsid w:val="008B20DC"/>
    <w:rsid w:val="008D150D"/>
    <w:rsid w:val="008E0555"/>
    <w:rsid w:val="009077D2"/>
    <w:rsid w:val="00912623"/>
    <w:rsid w:val="00931123"/>
    <w:rsid w:val="00966FE2"/>
    <w:rsid w:val="009813C7"/>
    <w:rsid w:val="00981CD4"/>
    <w:rsid w:val="00985468"/>
    <w:rsid w:val="00985678"/>
    <w:rsid w:val="009876E0"/>
    <w:rsid w:val="009907B9"/>
    <w:rsid w:val="009919BA"/>
    <w:rsid w:val="00997F79"/>
    <w:rsid w:val="009A6D8B"/>
    <w:rsid w:val="009A741A"/>
    <w:rsid w:val="009C1C05"/>
    <w:rsid w:val="009C6461"/>
    <w:rsid w:val="009D0455"/>
    <w:rsid w:val="009D16AD"/>
    <w:rsid w:val="009E20EA"/>
    <w:rsid w:val="009E35CD"/>
    <w:rsid w:val="009F30E4"/>
    <w:rsid w:val="00A16C10"/>
    <w:rsid w:val="00A21B7A"/>
    <w:rsid w:val="00A223CE"/>
    <w:rsid w:val="00A257B9"/>
    <w:rsid w:val="00A4191C"/>
    <w:rsid w:val="00A5550B"/>
    <w:rsid w:val="00A60214"/>
    <w:rsid w:val="00A643F2"/>
    <w:rsid w:val="00A7137F"/>
    <w:rsid w:val="00A835BA"/>
    <w:rsid w:val="00A850B5"/>
    <w:rsid w:val="00A85D7C"/>
    <w:rsid w:val="00AA659B"/>
    <w:rsid w:val="00AC1317"/>
    <w:rsid w:val="00AC3979"/>
    <w:rsid w:val="00AC690A"/>
    <w:rsid w:val="00AC6D58"/>
    <w:rsid w:val="00AD7906"/>
    <w:rsid w:val="00AE2996"/>
    <w:rsid w:val="00B165D0"/>
    <w:rsid w:val="00B30366"/>
    <w:rsid w:val="00B377B3"/>
    <w:rsid w:val="00B42DC1"/>
    <w:rsid w:val="00B54DA1"/>
    <w:rsid w:val="00B6602D"/>
    <w:rsid w:val="00B76534"/>
    <w:rsid w:val="00B94D3B"/>
    <w:rsid w:val="00BA120B"/>
    <w:rsid w:val="00BC1D60"/>
    <w:rsid w:val="00BC5F2D"/>
    <w:rsid w:val="00BD09C6"/>
    <w:rsid w:val="00BD43FE"/>
    <w:rsid w:val="00BD5536"/>
    <w:rsid w:val="00BE5899"/>
    <w:rsid w:val="00C032AA"/>
    <w:rsid w:val="00C054A3"/>
    <w:rsid w:val="00C07A22"/>
    <w:rsid w:val="00C15E3B"/>
    <w:rsid w:val="00C35BAE"/>
    <w:rsid w:val="00C604DF"/>
    <w:rsid w:val="00C7005B"/>
    <w:rsid w:val="00C97B3E"/>
    <w:rsid w:val="00CA5F43"/>
    <w:rsid w:val="00CA6890"/>
    <w:rsid w:val="00CB6325"/>
    <w:rsid w:val="00CC6D16"/>
    <w:rsid w:val="00CE24AA"/>
    <w:rsid w:val="00CE4863"/>
    <w:rsid w:val="00D12706"/>
    <w:rsid w:val="00D2065B"/>
    <w:rsid w:val="00D23841"/>
    <w:rsid w:val="00D43ABB"/>
    <w:rsid w:val="00D444B0"/>
    <w:rsid w:val="00D65B16"/>
    <w:rsid w:val="00D74FA2"/>
    <w:rsid w:val="00D75418"/>
    <w:rsid w:val="00D9307A"/>
    <w:rsid w:val="00DD39E1"/>
    <w:rsid w:val="00DF065C"/>
    <w:rsid w:val="00DF2F22"/>
    <w:rsid w:val="00DF69C2"/>
    <w:rsid w:val="00E17E35"/>
    <w:rsid w:val="00E2604C"/>
    <w:rsid w:val="00E3119D"/>
    <w:rsid w:val="00E33356"/>
    <w:rsid w:val="00E369B9"/>
    <w:rsid w:val="00E61BEE"/>
    <w:rsid w:val="00E648D0"/>
    <w:rsid w:val="00E83977"/>
    <w:rsid w:val="00E851C5"/>
    <w:rsid w:val="00EA2109"/>
    <w:rsid w:val="00EA23F4"/>
    <w:rsid w:val="00EB0BA4"/>
    <w:rsid w:val="00ED692D"/>
    <w:rsid w:val="00EF2B15"/>
    <w:rsid w:val="00EF74FA"/>
    <w:rsid w:val="00EF756A"/>
    <w:rsid w:val="00F04032"/>
    <w:rsid w:val="00F11E62"/>
    <w:rsid w:val="00F16F7F"/>
    <w:rsid w:val="00F4186A"/>
    <w:rsid w:val="00F45D4A"/>
    <w:rsid w:val="00F46EB1"/>
    <w:rsid w:val="00F5639C"/>
    <w:rsid w:val="00F81C71"/>
    <w:rsid w:val="00F82534"/>
    <w:rsid w:val="00FA4B03"/>
    <w:rsid w:val="00FA77FA"/>
    <w:rsid w:val="00FC044F"/>
    <w:rsid w:val="00FC7363"/>
    <w:rsid w:val="00FD7AA5"/>
    <w:rsid w:val="00FE0744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9B9"/>
    <w:pPr>
      <w:spacing w:line="312" w:lineRule="auto"/>
    </w:pPr>
    <w:rPr>
      <w:sz w:val="20"/>
      <w:szCs w:val="20"/>
    </w:rPr>
  </w:style>
  <w:style w:type="paragraph" w:styleId="1">
    <w:name w:val="heading 1"/>
    <w:next w:val="a0"/>
    <w:link w:val="10"/>
    <w:uiPriority w:val="9"/>
    <w:qFormat/>
    <w:rsid w:val="007B4310"/>
    <w:pPr>
      <w:keepNext/>
      <w:keepLines/>
      <w:pageBreakBefore/>
      <w:numPr>
        <w:numId w:val="11"/>
      </w:numPr>
      <w:spacing w:before="480" w:after="240"/>
      <w:ind w:left="851" w:hanging="851"/>
      <w:outlineLvl w:val="0"/>
    </w:pPr>
    <w:rPr>
      <w:rFonts w:asciiTheme="majorHAnsi" w:eastAsiaTheme="majorEastAsia" w:hAnsiTheme="majorHAnsi" w:cstheme="majorBidi"/>
      <w:bCs/>
      <w:color w:val="3D946D"/>
      <w:sz w:val="48"/>
      <w:szCs w:val="48"/>
    </w:rPr>
  </w:style>
  <w:style w:type="paragraph" w:styleId="2">
    <w:name w:val="heading 2"/>
    <w:basedOn w:val="1"/>
    <w:next w:val="a0"/>
    <w:link w:val="20"/>
    <w:uiPriority w:val="9"/>
    <w:unhideWhenUsed/>
    <w:qFormat/>
    <w:rsid w:val="007B4310"/>
    <w:pPr>
      <w:pageBreakBefore w:val="0"/>
      <w:numPr>
        <w:ilvl w:val="1"/>
      </w:numPr>
      <w:spacing w:before="360" w:after="120"/>
      <w:ind w:left="851" w:hanging="851"/>
      <w:outlineLvl w:val="1"/>
    </w:pPr>
    <w:rPr>
      <w:bCs w:val="0"/>
      <w:sz w:val="36"/>
      <w:szCs w:val="36"/>
    </w:rPr>
  </w:style>
  <w:style w:type="paragraph" w:styleId="3">
    <w:name w:val="heading 3"/>
    <w:basedOn w:val="2"/>
    <w:next w:val="a0"/>
    <w:link w:val="30"/>
    <w:uiPriority w:val="9"/>
    <w:unhideWhenUsed/>
    <w:qFormat/>
    <w:rsid w:val="00F04032"/>
    <w:pPr>
      <w:numPr>
        <w:ilvl w:val="2"/>
      </w:numPr>
      <w:spacing w:before="240"/>
      <w:ind w:left="1701" w:hanging="850"/>
      <w:outlineLvl w:val="2"/>
    </w:pPr>
    <w:rPr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5B0A2B"/>
    <w:pPr>
      <w:keepNext/>
      <w:keepLines/>
      <w:numPr>
        <w:ilvl w:val="2"/>
        <w:numId w:val="5"/>
      </w:numPr>
      <w:spacing w:before="240" w:after="120"/>
      <w:ind w:left="1701" w:hanging="850"/>
      <w:outlineLvl w:val="3"/>
    </w:pPr>
    <w:rPr>
      <w:rFonts w:asciiTheme="majorHAnsi" w:eastAsiaTheme="majorEastAsia" w:hAnsiTheme="majorHAnsi" w:cstheme="majorBidi"/>
      <w:bCs/>
      <w:iCs/>
      <w:color w:val="3D946D"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60F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2BDA9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3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36D4B"/>
  </w:style>
  <w:style w:type="paragraph" w:styleId="a6">
    <w:name w:val="footer"/>
    <w:basedOn w:val="a0"/>
    <w:link w:val="a7"/>
    <w:uiPriority w:val="99"/>
    <w:unhideWhenUsed/>
    <w:rsid w:val="0060397E"/>
    <w:pPr>
      <w:tabs>
        <w:tab w:val="center" w:pos="4513"/>
        <w:tab w:val="right" w:pos="9026"/>
      </w:tabs>
      <w:spacing w:after="0" w:line="240" w:lineRule="auto"/>
      <w:jc w:val="right"/>
    </w:pPr>
    <w:rPr>
      <w:color w:val="3D946D"/>
      <w:sz w:val="18"/>
    </w:rPr>
  </w:style>
  <w:style w:type="character" w:customStyle="1" w:styleId="a7">
    <w:name w:val="Нижний колонтитул Знак"/>
    <w:basedOn w:val="a1"/>
    <w:link w:val="a6"/>
    <w:uiPriority w:val="99"/>
    <w:rsid w:val="0060397E"/>
    <w:rPr>
      <w:color w:val="3D946D"/>
      <w:sz w:val="18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6D4B"/>
    <w:rPr>
      <w:rFonts w:ascii="Tahoma" w:hAnsi="Tahoma" w:cs="Tahoma"/>
      <w:sz w:val="16"/>
      <w:szCs w:val="16"/>
    </w:rPr>
  </w:style>
  <w:style w:type="paragraph" w:styleId="aa">
    <w:name w:val="Title"/>
    <w:basedOn w:val="a0"/>
    <w:next w:val="a0"/>
    <w:link w:val="ab"/>
    <w:qFormat/>
    <w:rsid w:val="00B94D3B"/>
    <w:pPr>
      <w:spacing w:after="300" w:line="240" w:lineRule="auto"/>
      <w:contextualSpacing/>
    </w:pPr>
    <w:rPr>
      <w:rFonts w:ascii="Georgia" w:eastAsiaTheme="majorEastAsia" w:hAnsi="Georgia" w:cstheme="majorBidi"/>
      <w:color w:val="3D946D"/>
      <w:spacing w:val="5"/>
      <w:kern w:val="28"/>
      <w:sz w:val="80"/>
      <w:szCs w:val="80"/>
    </w:rPr>
  </w:style>
  <w:style w:type="character" w:customStyle="1" w:styleId="ab">
    <w:name w:val="Название Знак"/>
    <w:basedOn w:val="a1"/>
    <w:link w:val="aa"/>
    <w:rsid w:val="00B94D3B"/>
    <w:rPr>
      <w:rFonts w:ascii="Georgia" w:eastAsiaTheme="majorEastAsia" w:hAnsi="Georgia" w:cstheme="majorBidi"/>
      <w:color w:val="3D946D"/>
      <w:spacing w:val="5"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9"/>
    <w:rsid w:val="007B4310"/>
    <w:rPr>
      <w:rFonts w:asciiTheme="majorHAnsi" w:eastAsiaTheme="majorEastAsia" w:hAnsiTheme="majorHAnsi" w:cstheme="majorBidi"/>
      <w:bCs/>
      <w:color w:val="3D946D"/>
      <w:sz w:val="48"/>
      <w:szCs w:val="48"/>
    </w:rPr>
  </w:style>
  <w:style w:type="paragraph" w:styleId="ac">
    <w:name w:val="TOC Heading"/>
    <w:next w:val="a0"/>
    <w:uiPriority w:val="39"/>
    <w:unhideWhenUsed/>
    <w:qFormat/>
    <w:rsid w:val="00F04032"/>
    <w:rPr>
      <w:rFonts w:asciiTheme="majorHAnsi" w:eastAsiaTheme="majorEastAsia" w:hAnsiTheme="majorHAnsi" w:cstheme="majorBidi"/>
      <w:bCs/>
      <w:color w:val="3D946D"/>
      <w:sz w:val="48"/>
      <w:szCs w:val="48"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9876E0"/>
    <w:pPr>
      <w:tabs>
        <w:tab w:val="left" w:pos="567"/>
        <w:tab w:val="right" w:leader="dot" w:pos="9639"/>
      </w:tabs>
      <w:spacing w:after="100"/>
      <w:ind w:left="567" w:right="282" w:hanging="567"/>
    </w:pPr>
    <w:rPr>
      <w:b/>
      <w:noProof/>
    </w:rPr>
  </w:style>
  <w:style w:type="character" w:styleId="ad">
    <w:name w:val="Hyperlink"/>
    <w:basedOn w:val="a1"/>
    <w:uiPriority w:val="99"/>
    <w:unhideWhenUsed/>
    <w:rsid w:val="0060397E"/>
    <w:rPr>
      <w:color w:val="0B6F3E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7B4310"/>
    <w:rPr>
      <w:rFonts w:asciiTheme="majorHAnsi" w:eastAsiaTheme="majorEastAsia" w:hAnsiTheme="majorHAnsi" w:cstheme="majorBidi"/>
      <w:color w:val="3D946D"/>
      <w:sz w:val="36"/>
      <w:szCs w:val="36"/>
    </w:rPr>
  </w:style>
  <w:style w:type="paragraph" w:styleId="21">
    <w:name w:val="toc 2"/>
    <w:basedOn w:val="a0"/>
    <w:next w:val="a0"/>
    <w:autoRedefine/>
    <w:uiPriority w:val="39"/>
    <w:unhideWhenUsed/>
    <w:rsid w:val="00F5639C"/>
    <w:pPr>
      <w:tabs>
        <w:tab w:val="left" w:pos="567"/>
        <w:tab w:val="right" w:leader="dot" w:pos="9628"/>
      </w:tabs>
      <w:spacing w:after="100"/>
    </w:pPr>
    <w:rPr>
      <w:noProof/>
    </w:rPr>
  </w:style>
  <w:style w:type="character" w:customStyle="1" w:styleId="30">
    <w:name w:val="Заголовок 3 Знак"/>
    <w:basedOn w:val="a1"/>
    <w:link w:val="3"/>
    <w:uiPriority w:val="9"/>
    <w:rsid w:val="00F04032"/>
    <w:rPr>
      <w:rFonts w:asciiTheme="majorHAnsi" w:eastAsiaTheme="majorEastAsia" w:hAnsiTheme="majorHAnsi" w:cstheme="majorBidi"/>
      <w:bCs/>
      <w:color w:val="3D946D"/>
      <w:sz w:val="32"/>
      <w:szCs w:val="32"/>
    </w:rPr>
  </w:style>
  <w:style w:type="numbering" w:customStyle="1" w:styleId="SBP">
    <w:name w:val="SBP"/>
    <w:uiPriority w:val="99"/>
    <w:rsid w:val="005B0A2B"/>
    <w:pPr>
      <w:numPr>
        <w:numId w:val="5"/>
      </w:numPr>
    </w:pPr>
  </w:style>
  <w:style w:type="paragraph" w:customStyle="1" w:styleId="Indented">
    <w:name w:val="Indented"/>
    <w:basedOn w:val="a0"/>
    <w:link w:val="IndentedChar"/>
    <w:qFormat/>
    <w:rsid w:val="004309B9"/>
    <w:pPr>
      <w:ind w:left="851"/>
    </w:pPr>
  </w:style>
  <w:style w:type="character" w:customStyle="1" w:styleId="40">
    <w:name w:val="Заголовок 4 Знак"/>
    <w:basedOn w:val="a1"/>
    <w:link w:val="4"/>
    <w:uiPriority w:val="9"/>
    <w:rsid w:val="005B0A2B"/>
    <w:rPr>
      <w:rFonts w:asciiTheme="majorHAnsi" w:eastAsiaTheme="majorEastAsia" w:hAnsiTheme="majorHAnsi" w:cstheme="majorBidi"/>
      <w:bCs/>
      <w:iCs/>
      <w:color w:val="3D946D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83069A"/>
    <w:pPr>
      <w:tabs>
        <w:tab w:val="left" w:pos="1418"/>
        <w:tab w:val="right" w:leader="dot" w:pos="9628"/>
      </w:tabs>
      <w:spacing w:after="100"/>
      <w:ind w:left="567"/>
    </w:pPr>
    <w:rPr>
      <w:noProof/>
    </w:rPr>
  </w:style>
  <w:style w:type="character" w:customStyle="1" w:styleId="IndentedChar">
    <w:name w:val="Indented Char"/>
    <w:basedOn w:val="a1"/>
    <w:link w:val="Indented"/>
    <w:rsid w:val="004309B9"/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069A"/>
    <w:pPr>
      <w:tabs>
        <w:tab w:val="left" w:pos="1701"/>
        <w:tab w:val="right" w:leader="dot" w:pos="9628"/>
      </w:tabs>
      <w:spacing w:after="100"/>
      <w:ind w:left="851"/>
    </w:pPr>
    <w:rPr>
      <w:i/>
      <w:noProof/>
      <w:sz w:val="18"/>
      <w:szCs w:val="18"/>
    </w:rPr>
  </w:style>
  <w:style w:type="paragraph" w:styleId="a">
    <w:name w:val="List Paragraph"/>
    <w:aliases w:val="Bullet"/>
    <w:basedOn w:val="a0"/>
    <w:uiPriority w:val="34"/>
    <w:qFormat/>
    <w:rsid w:val="004309B9"/>
    <w:pPr>
      <w:numPr>
        <w:numId w:val="7"/>
      </w:numPr>
      <w:ind w:left="426" w:hanging="426"/>
      <w:contextualSpacing/>
    </w:pPr>
  </w:style>
  <w:style w:type="paragraph" w:customStyle="1" w:styleId="IntentedBullet">
    <w:name w:val="Intented Bullet"/>
    <w:basedOn w:val="Indented"/>
    <w:link w:val="IntentedBulletChar"/>
    <w:qFormat/>
    <w:rsid w:val="004309B9"/>
    <w:pPr>
      <w:numPr>
        <w:numId w:val="10"/>
      </w:numPr>
      <w:ind w:left="1276" w:hanging="425"/>
      <w:contextualSpacing/>
    </w:pPr>
  </w:style>
  <w:style w:type="character" w:customStyle="1" w:styleId="IntentedBulletChar">
    <w:name w:val="Intented Bullet Char"/>
    <w:basedOn w:val="IndentedChar"/>
    <w:link w:val="IntentedBullet"/>
    <w:rsid w:val="004309B9"/>
    <w:rPr>
      <w:sz w:val="20"/>
      <w:szCs w:val="20"/>
    </w:rPr>
  </w:style>
  <w:style w:type="paragraph" w:customStyle="1" w:styleId="Subheading">
    <w:name w:val="Sub heading"/>
    <w:basedOn w:val="4"/>
    <w:link w:val="SubheadingChar"/>
    <w:qFormat/>
    <w:rsid w:val="00F5639C"/>
    <w:pPr>
      <w:numPr>
        <w:ilvl w:val="0"/>
        <w:numId w:val="0"/>
      </w:numPr>
    </w:pPr>
    <w:rPr>
      <w:color w:val="8AB059"/>
    </w:rPr>
  </w:style>
  <w:style w:type="character" w:customStyle="1" w:styleId="SubheadingChar">
    <w:name w:val="Sub heading Char"/>
    <w:basedOn w:val="40"/>
    <w:link w:val="Subheading"/>
    <w:rsid w:val="00F5639C"/>
    <w:rPr>
      <w:rFonts w:asciiTheme="majorHAnsi" w:eastAsiaTheme="majorEastAsia" w:hAnsiTheme="majorHAnsi" w:cstheme="majorBidi"/>
      <w:bCs/>
      <w:iCs/>
      <w:color w:val="8AB059"/>
      <w:sz w:val="28"/>
      <w:szCs w:val="28"/>
    </w:rPr>
  </w:style>
  <w:style w:type="table" w:styleId="ae">
    <w:name w:val="Table Grid"/>
    <w:basedOn w:val="a2"/>
    <w:uiPriority w:val="59"/>
    <w:rsid w:val="0098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0"/>
    <w:link w:val="TableChar"/>
    <w:qFormat/>
    <w:rsid w:val="007C5EAE"/>
    <w:pPr>
      <w:spacing w:before="120" w:after="120" w:line="276" w:lineRule="auto"/>
    </w:pPr>
    <w:rPr>
      <w:sz w:val="18"/>
      <w:szCs w:val="18"/>
    </w:rPr>
  </w:style>
  <w:style w:type="paragraph" w:customStyle="1" w:styleId="Default">
    <w:name w:val="Default"/>
    <w:rsid w:val="00FE1F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ableChar">
    <w:name w:val="Table Char"/>
    <w:basedOn w:val="a1"/>
    <w:link w:val="Table"/>
    <w:rsid w:val="007C5EAE"/>
    <w:rPr>
      <w:sz w:val="18"/>
      <w:szCs w:val="18"/>
    </w:rPr>
  </w:style>
  <w:style w:type="paragraph" w:customStyle="1" w:styleId="TableBullet">
    <w:name w:val="Table Bullet"/>
    <w:basedOn w:val="Table"/>
    <w:link w:val="TableBulletChar"/>
    <w:qFormat/>
    <w:rsid w:val="007C5EAE"/>
    <w:pPr>
      <w:numPr>
        <w:numId w:val="12"/>
      </w:numPr>
      <w:ind w:left="318" w:hanging="284"/>
      <w:contextualSpacing/>
    </w:pPr>
  </w:style>
  <w:style w:type="character" w:customStyle="1" w:styleId="TableBulletChar">
    <w:name w:val="Table Bullet Char"/>
    <w:basedOn w:val="TableChar"/>
    <w:link w:val="TableBullet"/>
    <w:rsid w:val="007C5EAE"/>
    <w:rPr>
      <w:sz w:val="18"/>
      <w:szCs w:val="18"/>
    </w:rPr>
  </w:style>
  <w:style w:type="character" w:styleId="af">
    <w:name w:val="line number"/>
    <w:basedOn w:val="a1"/>
    <w:uiPriority w:val="99"/>
    <w:semiHidden/>
    <w:unhideWhenUsed/>
    <w:rsid w:val="00912623"/>
  </w:style>
  <w:style w:type="character" w:customStyle="1" w:styleId="50">
    <w:name w:val="Заголовок 5 Знак"/>
    <w:basedOn w:val="a1"/>
    <w:link w:val="5"/>
    <w:uiPriority w:val="9"/>
    <w:rsid w:val="00360FA4"/>
    <w:rPr>
      <w:rFonts w:asciiTheme="majorHAnsi" w:eastAsiaTheme="majorEastAsia" w:hAnsiTheme="majorHAnsi" w:cstheme="majorBidi"/>
      <w:color w:val="92BDA9" w:themeColor="accent1" w:themeShade="BF"/>
      <w:sz w:val="20"/>
      <w:szCs w:val="20"/>
    </w:rPr>
  </w:style>
  <w:style w:type="character" w:styleId="af0">
    <w:name w:val="FollowedHyperlink"/>
    <w:basedOn w:val="a1"/>
    <w:uiPriority w:val="99"/>
    <w:semiHidden/>
    <w:unhideWhenUsed/>
    <w:rsid w:val="00F81C71"/>
    <w:rPr>
      <w:color w:val="595959" w:themeColor="followedHyperlink"/>
      <w:u w:val="single"/>
    </w:rPr>
  </w:style>
  <w:style w:type="character" w:styleId="af1">
    <w:name w:val="Strong"/>
    <w:basedOn w:val="a1"/>
    <w:uiPriority w:val="22"/>
    <w:qFormat/>
    <w:rsid w:val="00544AD8"/>
    <w:rPr>
      <w:b/>
      <w:bCs/>
    </w:rPr>
  </w:style>
  <w:style w:type="character" w:customStyle="1" w:styleId="apple-converted-space">
    <w:name w:val="apple-converted-space"/>
    <w:basedOn w:val="a1"/>
    <w:rsid w:val="00544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SBP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stolbzyles.by/certific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hurley.SWITCH\Desktop\SBP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 i="0" baseline="0"/>
              <a:t>Сырье для производства топливных гранул и теплогенерации, %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7671581447314E-3"/>
          <c:y val="0.28694991251093616"/>
          <c:w val="0.6752207410339417"/>
          <c:h val="0.542674249052201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79,6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2,4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Лист1!$D$3:$D$6</c:f>
              <c:strCache>
                <c:ptCount val="4"/>
                <c:pt idx="0">
                  <c:v>Опилки лесопиления и деревообработки собственного производства, для производства</c:v>
                </c:pt>
                <c:pt idx="1">
                  <c:v>Горбыль, для теплогенерации</c:v>
                </c:pt>
                <c:pt idx="2">
                  <c:v>Опилки лесопиления и деревообработки собственного производства, для теплогенерации</c:v>
                </c:pt>
                <c:pt idx="3">
                  <c:v>Дрова, для теплогенерации</c:v>
                </c:pt>
              </c:strCache>
            </c:strRef>
          </c:cat>
          <c:val>
            <c:numRef>
              <c:f>Лист1!$C$3:$C$6</c:f>
              <c:numCache>
                <c:formatCode>0%</c:formatCode>
                <c:ptCount val="4"/>
                <c:pt idx="0">
                  <c:v>0.79001834862385323</c:v>
                </c:pt>
                <c:pt idx="1">
                  <c:v>0.14219877675840978</c:v>
                </c:pt>
                <c:pt idx="2">
                  <c:v>1.2189602446483179E-2</c:v>
                </c:pt>
                <c:pt idx="3">
                  <c:v>5.5593272171253823E-2</c:v>
                </c:pt>
              </c:numCache>
            </c:numRef>
          </c:val>
        </c:ser>
        <c:ser>
          <c:idx val="1"/>
          <c:order val="1"/>
          <c:tx>
            <c:v>2</c:v>
          </c:tx>
          <c:explosion val="25"/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Лист1!$D$3:$D$6</c:f>
              <c:strCache>
                <c:ptCount val="4"/>
                <c:pt idx="0">
                  <c:v>Опилки лесопиления и деревообработки собственного производства, для производства</c:v>
                </c:pt>
                <c:pt idx="1">
                  <c:v>Горбыль, для теплогенерации</c:v>
                </c:pt>
                <c:pt idx="2">
                  <c:v>Опилки лесопиления и деревообработки собственного производства, для теплогенерации</c:v>
                </c:pt>
                <c:pt idx="3">
                  <c:v>Дрова, для теплогенерации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23227752528939"/>
          <c:y val="0.18697518015431347"/>
          <c:w val="0.40858631165687914"/>
          <c:h val="0.8088002555967516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0.80206</cdr:x>
      <cdr:y>0.47222</cdr:y>
    </cdr:from>
    <cdr:to>
      <cdr:x>1</cdr:x>
      <cdr:y>0.80556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476750" y="12954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SBP">
      <a:dk1>
        <a:sysClr val="windowText" lastClr="000000"/>
      </a:dk1>
      <a:lt1>
        <a:srgbClr val="FFFFFF"/>
      </a:lt1>
      <a:dk2>
        <a:srgbClr val="036F3B"/>
      </a:dk2>
      <a:lt2>
        <a:srgbClr val="D9E8E1"/>
      </a:lt2>
      <a:accent1>
        <a:srgbClr val="D9E8E1"/>
      </a:accent1>
      <a:accent2>
        <a:srgbClr val="8AB059"/>
      </a:accent2>
      <a:accent3>
        <a:srgbClr val="66A889"/>
      </a:accent3>
      <a:accent4>
        <a:srgbClr val="3D946D"/>
      </a:accent4>
      <a:accent5>
        <a:srgbClr val="036F3B"/>
      </a:accent5>
      <a:accent6>
        <a:srgbClr val="6B9C30"/>
      </a:accent6>
      <a:hlink>
        <a:srgbClr val="0B6F3E"/>
      </a:hlink>
      <a:folHlink>
        <a:srgbClr val="595959"/>
      </a:folHlink>
    </a:clrScheme>
    <a:fontScheme name="SBP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404A7-C3FB-41E4-8D8F-C997B50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SBP</Template>
  <TotalTime>293</TotalTime>
  <Pages>24</Pages>
  <Words>2550</Words>
  <Characters>14539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Hurley</dc:creator>
  <cp:lastModifiedBy>Светлана</cp:lastModifiedBy>
  <cp:revision>17</cp:revision>
  <cp:lastPrinted>2017-08-22T09:10:00Z</cp:lastPrinted>
  <dcterms:created xsi:type="dcterms:W3CDTF">2017-05-22T13:28:00Z</dcterms:created>
  <dcterms:modified xsi:type="dcterms:W3CDTF">2019-07-01T12:42:00Z</dcterms:modified>
</cp:coreProperties>
</file>